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outlineLvl w:val="0"/>
        <w:rPr>
          <w:rFonts w:ascii="Times New Roman" w:hAnsi="Times New Roman" w:eastAsia="仿宋_GB2312" w:cs="Times New Roman"/>
          <w:color w:val="000000" w:themeColor="text1"/>
          <w:sz w:val="28"/>
          <w:szCs w:val="28"/>
          <w:highlight w:val="none"/>
        </w:rPr>
      </w:pPr>
      <w:r>
        <w:rPr>
          <w:rFonts w:hint="eastAsia" w:ascii="Times New Roman" w:hAnsi="Times New Roman" w:eastAsia="仿宋_GB2312" w:cs="Times New Roman"/>
          <w:color w:val="000000" w:themeColor="text1"/>
          <w:sz w:val="28"/>
          <w:szCs w:val="28"/>
          <w:highlight w:val="none"/>
        </w:rPr>
        <w:t>附件1</w:t>
      </w:r>
    </w:p>
    <w:p>
      <w:pPr>
        <w:spacing w:line="720" w:lineRule="exact"/>
        <w:jc w:val="center"/>
        <w:rPr>
          <w:rFonts w:ascii="方正小标宋简体" w:hAnsi="黑体" w:eastAsia="方正小标宋简体"/>
          <w:bCs/>
          <w:color w:val="000000" w:themeColor="text1"/>
          <w:sz w:val="28"/>
          <w:szCs w:val="28"/>
          <w:highlight w:val="none"/>
        </w:rPr>
      </w:pPr>
      <w:r>
        <w:rPr>
          <w:rFonts w:ascii="方正小标宋简体" w:hAnsi="黑体" w:eastAsia="方正小标宋简体"/>
          <w:bCs/>
          <w:color w:val="000000" w:themeColor="text1"/>
          <w:sz w:val="28"/>
          <w:szCs w:val="28"/>
          <w:highlight w:val="none"/>
        </w:rPr>
        <w:t>本次检验项目</w:t>
      </w:r>
    </w:p>
    <w:p>
      <w:pPr>
        <w:keepNext w:val="0"/>
        <w:keepLines w:val="0"/>
        <w:pageBreakBefore w:val="0"/>
        <w:kinsoku/>
        <w:wordWrap/>
        <w:overflowPunct/>
        <w:topLinePunct w:val="0"/>
        <w:autoSpaceDE/>
        <w:autoSpaceDN/>
        <w:bidi w:val="0"/>
        <w:spacing w:line="560" w:lineRule="exact"/>
        <w:ind w:firstLine="640"/>
        <w:textAlignment w:val="auto"/>
        <w:rPr>
          <w:rFonts w:hint="eastAsia" w:ascii="黑体" w:hAnsi="黑体" w:eastAsia="黑体" w:cs="Times New Roman"/>
          <w:bCs/>
          <w:color w:val="000000" w:themeColor="text1"/>
          <w:sz w:val="28"/>
          <w:szCs w:val="28"/>
          <w:highlight w:val="none"/>
          <w:lang w:val="en-US" w:eastAsia="zh-CN"/>
        </w:rPr>
      </w:pPr>
      <w:r>
        <w:rPr>
          <w:rFonts w:hint="eastAsia" w:ascii="黑体" w:hAnsi="黑体" w:eastAsia="黑体" w:cs="Times New Roman"/>
          <w:bCs/>
          <w:color w:val="000000" w:themeColor="text1"/>
          <w:sz w:val="28"/>
          <w:szCs w:val="28"/>
          <w:highlight w:val="none"/>
          <w:lang w:val="en-US" w:eastAsia="zh-CN"/>
        </w:rPr>
        <w:t>一、餐饮食品</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楷体" w:hAnsi="楷体" w:eastAsia="楷体" w:cs="Times New Roman"/>
          <w:bCs/>
          <w:sz w:val="28"/>
          <w:szCs w:val="28"/>
          <w:highlight w:val="none"/>
          <w:lang w:val="en-US" w:eastAsia="zh-CN"/>
        </w:rPr>
      </w:pPr>
      <w:r>
        <w:rPr>
          <w:rFonts w:hint="eastAsia" w:ascii="楷体" w:hAnsi="楷体" w:eastAsia="楷体" w:cs="Times New Roman"/>
          <w:bCs/>
          <w:sz w:val="28"/>
          <w:szCs w:val="28"/>
          <w:highlight w:val="none"/>
          <w:lang w:val="en-US" w:eastAsia="zh-CN"/>
        </w:rPr>
        <w:t>（一）抽检依据</w:t>
      </w:r>
    </w:p>
    <w:p>
      <w:pPr>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Times New Roman"/>
          <w:bCs/>
          <w:color w:val="000000" w:themeColor="text1"/>
          <w:sz w:val="28"/>
          <w:szCs w:val="28"/>
          <w:highlight w:val="none"/>
          <w:lang w:val="en-US" w:eastAsia="zh-CN"/>
        </w:rPr>
      </w:pPr>
      <w:r>
        <w:rPr>
          <w:rFonts w:hint="eastAsia" w:ascii="Times New Roman" w:hAnsi="Times New Roman" w:eastAsia="仿宋_GB2312" w:cs="Times New Roman"/>
          <w:bCs/>
          <w:color w:val="000000" w:themeColor="text1"/>
          <w:sz w:val="28"/>
          <w:szCs w:val="28"/>
          <w:highlight w:val="none"/>
          <w:lang w:val="en-US" w:eastAsia="zh-CN"/>
        </w:rPr>
        <w:t>抽检依据是《食品安全国家标准 消毒餐(饮)具》（GB 14934-2016）等标准及产品明示标准和指标的要求。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楷体" w:hAnsi="楷体" w:eastAsia="楷体" w:cs="Times New Roman"/>
          <w:bCs/>
          <w:sz w:val="28"/>
          <w:szCs w:val="28"/>
          <w:highlight w:val="none"/>
          <w:lang w:val="en-US" w:eastAsia="zh-CN"/>
        </w:rPr>
      </w:pPr>
      <w:r>
        <w:rPr>
          <w:rFonts w:hint="eastAsia" w:ascii="楷体" w:hAnsi="楷体" w:eastAsia="楷体" w:cs="Times New Roman"/>
          <w:bCs/>
          <w:sz w:val="28"/>
          <w:szCs w:val="28"/>
          <w:highlight w:val="none"/>
          <w:lang w:val="en-US" w:eastAsia="zh-CN"/>
        </w:rPr>
        <w:t>（二）检验项目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imes New Roman" w:hAnsi="Times New Roman" w:eastAsia="仿宋_GB2312" w:cs="Times New Roman"/>
          <w:bCs/>
          <w:color w:val="000000" w:themeColor="text1"/>
          <w:sz w:val="28"/>
          <w:szCs w:val="28"/>
          <w:highlight w:val="none"/>
          <w:lang w:val="en-US" w:eastAsia="zh-CN"/>
        </w:rPr>
      </w:pPr>
      <w:r>
        <w:rPr>
          <w:rFonts w:hint="eastAsia" w:ascii="Times New Roman" w:hAnsi="Times New Roman" w:eastAsia="仿宋_GB2312" w:cs="Times New Roman"/>
          <w:bCs/>
          <w:color w:val="000000" w:themeColor="text1"/>
          <w:sz w:val="28"/>
          <w:szCs w:val="28"/>
          <w:highlight w:val="none"/>
          <w:lang w:val="en-US" w:eastAsia="zh-CN"/>
        </w:rPr>
        <w:t>餐饮食品抽检项目包括大肠菌群和沙门氏菌等2个指标。</w:t>
      </w:r>
    </w:p>
    <w:p>
      <w:pPr>
        <w:wordWrap w:val="0"/>
        <w:spacing w:line="560" w:lineRule="exact"/>
        <w:ind w:firstLine="560" w:firstLineChars="200"/>
        <w:rPr>
          <w:rFonts w:hint="eastAsia" w:ascii="黑体" w:hAnsi="黑体" w:eastAsia="黑体" w:cs="Times New Roman"/>
          <w:bCs/>
          <w:color w:val="auto"/>
          <w:sz w:val="28"/>
          <w:szCs w:val="28"/>
          <w:highlight w:val="none"/>
        </w:rPr>
      </w:pPr>
      <w:r>
        <w:rPr>
          <w:rFonts w:hint="eastAsia" w:ascii="黑体" w:hAnsi="黑体" w:eastAsia="黑体" w:cs="Times New Roman"/>
          <w:bCs/>
          <w:color w:val="auto"/>
          <w:sz w:val="28"/>
          <w:szCs w:val="28"/>
          <w:highlight w:val="none"/>
          <w:lang w:eastAsia="zh-CN"/>
        </w:rPr>
        <w:t>二</w:t>
      </w:r>
      <w:r>
        <w:rPr>
          <w:rFonts w:hint="eastAsia" w:ascii="黑体" w:hAnsi="黑体" w:eastAsia="黑体" w:cs="Times New Roman"/>
          <w:bCs/>
          <w:color w:val="auto"/>
          <w:sz w:val="28"/>
          <w:szCs w:val="28"/>
          <w:highlight w:val="none"/>
        </w:rPr>
        <w:t>、食用农产品</w:t>
      </w:r>
    </w:p>
    <w:p>
      <w:pPr>
        <w:spacing w:line="560" w:lineRule="exact"/>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（一）抽检依据</w:t>
      </w:r>
    </w:p>
    <w:p>
      <w:pPr>
        <w:wordWrap w:val="0"/>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抽检依据是</w:t>
      </w:r>
      <w:r>
        <w:rPr>
          <w:rFonts w:ascii="仿宋_GB2312" w:hAnsi="仿宋_GB2312" w:eastAsia="仿宋_GB2312" w:cs="仿宋_GB2312"/>
          <w:color w:val="auto"/>
          <w:sz w:val="28"/>
          <w:szCs w:val="28"/>
          <w:highlight w:val="none"/>
        </w:rPr>
        <w:t>《食品安全国家标准 食品中兽药最大残留限量》</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rPr>
        <w:t>GB 31650</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rPr>
        <w:t>、《食品动物中禁止使用的药品及其他化合物清单》</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rPr>
        <w:t>农业农村部公告第250号</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rPr>
        <w:t>、《食品中可能违法添加的非食用物质和易滥用的食品添加剂名单（第四批）》</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rPr>
        <w:t>整顿办函〔2010〕50 号</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rPr>
        <w:t>、《食品安全国家标准 食品中农药最大残留限量》</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rPr>
        <w:t>GB 2763</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《食品安全国家标准 食品中污染物限量》（GB 2762）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国家食品药品监督管理总局农业部国家卫生和计划生育委员会关于豆芽生产过程中禁止使用6-苄基腺嘌呤等物质的公告(2015年第11号)</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《豆芽卫生标准》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GB 22556</w:t>
      </w:r>
      <w:r>
        <w:rPr>
          <w:rFonts w:hint="eastAsia" w:ascii="仿宋_GB2312" w:hAnsi="仿宋_GB2312" w:eastAsia="仿宋_GB2312" w:cs="仿宋_GB2312"/>
          <w:color w:val="auto"/>
          <w:sz w:val="28"/>
          <w:szCs w:val="28"/>
          <w:highlight w:val="none"/>
          <w:lang w:eastAsia="zh-CN"/>
        </w:rPr>
        <w:t>）、《兽药地方标准废止目录》（农业部公告第560号）</w:t>
      </w:r>
      <w:r>
        <w:rPr>
          <w:rFonts w:hint="eastAsia" w:ascii="仿宋_GB2312" w:hAnsi="仿宋_GB2312" w:eastAsia="仿宋_GB2312" w:cs="仿宋_GB2312"/>
          <w:color w:val="auto"/>
          <w:sz w:val="28"/>
          <w:szCs w:val="28"/>
          <w:highlight w:val="none"/>
        </w:rPr>
        <w:t>等标准的要求。</w:t>
      </w:r>
    </w:p>
    <w:p>
      <w:pPr>
        <w:numPr>
          <w:ilvl w:val="0"/>
          <w:numId w:val="1"/>
        </w:numPr>
        <w:wordWrap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楷体" w:hAnsi="楷体" w:eastAsia="楷体" w:cs="楷体"/>
          <w:color w:val="auto"/>
          <w:sz w:val="28"/>
          <w:szCs w:val="28"/>
          <w:highlight w:val="none"/>
        </w:rPr>
        <w:t>检验项目</w:t>
      </w:r>
    </w:p>
    <w:p>
      <w:pPr>
        <w:numPr>
          <w:numId w:val="0"/>
        </w:numPr>
        <w:wordWrap w:val="0"/>
        <w:spacing w:line="56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1.鸡蛋抽检项目包括恩诺沙星、氟苯尼考、磺胺类（总量）、甲硝唑、氯霉素、金刚烷胺、金刚乙胺、氟虫腈、呋喃唑酮代谢物、地美硝唑、甲砜霉素等11个指标。</w:t>
      </w:r>
    </w:p>
    <w:p>
      <w:pPr>
        <w:numPr>
          <w:numId w:val="0"/>
        </w:numPr>
        <w:wordWrap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2.辣椒抽检项目包括</w:t>
      </w:r>
      <w:r>
        <w:rPr>
          <w:rFonts w:hint="eastAsia" w:ascii="仿宋_GB2312" w:hAnsi="仿宋_GB2312" w:eastAsia="仿宋_GB2312" w:cs="仿宋_GB2312"/>
          <w:color w:val="auto"/>
          <w:sz w:val="28"/>
          <w:szCs w:val="28"/>
          <w:highlight w:val="none"/>
          <w:lang w:eastAsia="zh-CN"/>
        </w:rPr>
        <w:t>镉（以Cd计）、氧乐果、克百威、啶虫脒、联苯菊酯</w:t>
      </w:r>
      <w:r>
        <w:rPr>
          <w:rFonts w:hint="eastAsia" w:ascii="仿宋_GB2312" w:hAnsi="仿宋_GB2312" w:eastAsia="仿宋_GB2312" w:cs="仿宋_GB2312"/>
          <w:color w:val="auto"/>
          <w:sz w:val="28"/>
          <w:szCs w:val="28"/>
          <w:highlight w:val="none"/>
          <w:lang w:eastAsia="zh-CN"/>
        </w:rPr>
        <w:t>等</w:t>
      </w:r>
      <w:r>
        <w:rPr>
          <w:rFonts w:hint="eastAsia" w:ascii="仿宋_GB2312" w:hAnsi="仿宋_GB2312" w:eastAsia="仿宋_GB2312" w:cs="仿宋_GB2312"/>
          <w:color w:val="auto"/>
          <w:sz w:val="28"/>
          <w:szCs w:val="28"/>
          <w:highlight w:val="none"/>
          <w:lang w:val="en-US" w:eastAsia="zh-CN"/>
        </w:rPr>
        <w:t>5个指标。</w:t>
      </w:r>
    </w:p>
    <w:p>
      <w:pPr>
        <w:numPr>
          <w:numId w:val="0"/>
        </w:numPr>
        <w:wordWrap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3.芹菜抽检项目包括毒死蜱、甲拌磷、氯氟氰菊酯和高效氯氟氰菊酯、氧乐果、克百威、噻虫胺、腈菌唑、苯醚甲环唑</w:t>
      </w:r>
      <w:r>
        <w:rPr>
          <w:rFonts w:hint="eastAsia" w:ascii="仿宋_GB2312" w:hAnsi="仿宋_GB2312" w:eastAsia="仿宋_GB2312" w:cs="仿宋_GB2312"/>
          <w:color w:val="auto"/>
          <w:sz w:val="28"/>
          <w:szCs w:val="28"/>
          <w:highlight w:val="none"/>
          <w:lang w:eastAsia="zh-CN"/>
        </w:rPr>
        <w:t>等</w:t>
      </w:r>
      <w:r>
        <w:rPr>
          <w:rFonts w:hint="eastAsia" w:ascii="仿宋_GB2312" w:hAnsi="仿宋_GB2312" w:eastAsia="仿宋_GB2312" w:cs="仿宋_GB2312"/>
          <w:color w:val="auto"/>
          <w:sz w:val="28"/>
          <w:szCs w:val="28"/>
          <w:highlight w:val="none"/>
          <w:lang w:val="en-US" w:eastAsia="zh-CN"/>
        </w:rPr>
        <w:t>8个指标</w:t>
      </w:r>
      <w:r>
        <w:rPr>
          <w:rFonts w:hint="eastAsia" w:ascii="仿宋_GB2312" w:hAnsi="仿宋_GB2312" w:eastAsia="仿宋_GB2312" w:cs="仿宋_GB2312"/>
          <w:color w:val="auto"/>
          <w:sz w:val="28"/>
          <w:szCs w:val="28"/>
          <w:highlight w:val="none"/>
        </w:rPr>
        <w:t>。</w:t>
      </w:r>
    </w:p>
    <w:p>
      <w:pPr>
        <w:numPr>
          <w:numId w:val="0"/>
        </w:numPr>
        <w:wordWrap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4.油麦菜抽检项目包括氟虫腈、氧乐果、啶虫脒、辛硫磷、水胺硫磷</w:t>
      </w:r>
      <w:r>
        <w:rPr>
          <w:rFonts w:hint="eastAsia" w:ascii="仿宋_GB2312" w:hAnsi="仿宋_GB2312" w:eastAsia="仿宋_GB2312" w:cs="仿宋_GB2312"/>
          <w:color w:val="auto"/>
          <w:sz w:val="28"/>
          <w:szCs w:val="28"/>
          <w:highlight w:val="none"/>
          <w:lang w:eastAsia="zh-CN"/>
        </w:rPr>
        <w:t>等</w:t>
      </w:r>
      <w:r>
        <w:rPr>
          <w:rFonts w:hint="eastAsia" w:ascii="仿宋_GB2312" w:hAnsi="仿宋_GB2312" w:eastAsia="仿宋_GB2312" w:cs="仿宋_GB2312"/>
          <w:color w:val="auto"/>
          <w:sz w:val="28"/>
          <w:szCs w:val="28"/>
          <w:highlight w:val="none"/>
          <w:lang w:val="en-US" w:eastAsia="zh-CN"/>
        </w:rPr>
        <w:t>5个指标</w:t>
      </w:r>
      <w:r>
        <w:rPr>
          <w:rFonts w:hint="eastAsia" w:ascii="仿宋_GB2312" w:hAnsi="仿宋_GB2312" w:eastAsia="仿宋_GB2312" w:cs="仿宋_GB2312"/>
          <w:color w:val="auto"/>
          <w:sz w:val="28"/>
          <w:szCs w:val="28"/>
          <w:highlight w:val="none"/>
        </w:rPr>
        <w:t>。</w:t>
      </w:r>
    </w:p>
    <w:p>
      <w:pPr>
        <w:numPr>
          <w:numId w:val="0"/>
        </w:numPr>
        <w:wordWrap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5.茄子抽检项目包括</w:t>
      </w:r>
      <w:r>
        <w:rPr>
          <w:rFonts w:hint="eastAsia" w:ascii="仿宋_GB2312" w:hAnsi="仿宋_GB2312" w:eastAsia="仿宋_GB2312" w:cs="仿宋_GB2312"/>
          <w:color w:val="auto"/>
          <w:sz w:val="28"/>
          <w:szCs w:val="28"/>
          <w:highlight w:val="none"/>
        </w:rPr>
        <w:t>镉（以Cd计）、氧乐果、噻虫嗪、戊唑醇</w:t>
      </w:r>
      <w:r>
        <w:rPr>
          <w:rFonts w:hint="eastAsia" w:ascii="仿宋_GB2312" w:hAnsi="仿宋_GB2312" w:eastAsia="仿宋_GB2312" w:cs="仿宋_GB2312"/>
          <w:color w:val="auto"/>
          <w:sz w:val="28"/>
          <w:szCs w:val="28"/>
          <w:highlight w:val="none"/>
          <w:lang w:eastAsia="zh-CN"/>
        </w:rPr>
        <w:t>等</w:t>
      </w:r>
      <w:r>
        <w:rPr>
          <w:rFonts w:hint="eastAsia" w:ascii="仿宋_GB2312" w:hAnsi="仿宋_GB2312" w:eastAsia="仿宋_GB2312" w:cs="仿宋_GB2312"/>
          <w:color w:val="auto"/>
          <w:sz w:val="28"/>
          <w:szCs w:val="28"/>
          <w:highlight w:val="none"/>
          <w:lang w:val="en-US" w:eastAsia="zh-CN"/>
        </w:rPr>
        <w:t>4个指标。</w:t>
      </w:r>
    </w:p>
    <w:p>
      <w:pPr>
        <w:numPr>
          <w:numId w:val="0"/>
        </w:numPr>
        <w:wordWrap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6.姜抽检项目包括</w:t>
      </w:r>
      <w:r>
        <w:rPr>
          <w:rFonts w:hint="eastAsia" w:ascii="仿宋_GB2312" w:hAnsi="仿宋_GB2312" w:eastAsia="仿宋_GB2312" w:cs="仿宋_GB2312"/>
          <w:color w:val="auto"/>
          <w:sz w:val="28"/>
          <w:szCs w:val="28"/>
          <w:highlight w:val="none"/>
          <w:lang w:eastAsia="zh-CN"/>
        </w:rPr>
        <w:t>铅（以Pb计）、吡虫啉、噻虫嗪、噻虫胺、联苯菊酯</w:t>
      </w:r>
      <w:r>
        <w:rPr>
          <w:rFonts w:hint="eastAsia" w:ascii="仿宋_GB2312" w:hAnsi="仿宋_GB2312" w:eastAsia="仿宋_GB2312" w:cs="仿宋_GB2312"/>
          <w:color w:val="auto"/>
          <w:sz w:val="28"/>
          <w:szCs w:val="28"/>
          <w:highlight w:val="none"/>
          <w:lang w:eastAsia="zh-CN"/>
        </w:rPr>
        <w:t>等</w:t>
      </w:r>
      <w:r>
        <w:rPr>
          <w:rFonts w:hint="eastAsia" w:ascii="仿宋_GB2312" w:hAnsi="仿宋_GB2312" w:eastAsia="仿宋_GB2312" w:cs="仿宋_GB2312"/>
          <w:color w:val="auto"/>
          <w:sz w:val="28"/>
          <w:szCs w:val="28"/>
          <w:highlight w:val="none"/>
          <w:lang w:val="en-US" w:eastAsia="zh-CN"/>
        </w:rPr>
        <w:t>5个指标。</w:t>
      </w:r>
    </w:p>
    <w:p>
      <w:pPr>
        <w:numPr>
          <w:numId w:val="0"/>
        </w:numPr>
        <w:wordWrap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7.豆芽抽检项目包括铅（以Pb计）、4-氯苯氧乙酸钠(以4-氯苯氧乙酸计)、6-苄基腺嘌呤(6-BA)、亚硫酸盐(以SO₂计)</w:t>
      </w:r>
      <w:r>
        <w:rPr>
          <w:rFonts w:hint="eastAsia" w:ascii="仿宋_GB2312" w:hAnsi="仿宋_GB2312" w:eastAsia="仿宋_GB2312" w:cs="仿宋_GB2312"/>
          <w:color w:val="auto"/>
          <w:sz w:val="28"/>
          <w:szCs w:val="28"/>
          <w:highlight w:val="none"/>
          <w:lang w:eastAsia="zh-CN"/>
        </w:rPr>
        <w:t>等</w:t>
      </w:r>
      <w:r>
        <w:rPr>
          <w:rFonts w:hint="eastAsia" w:ascii="仿宋_GB2312" w:hAnsi="仿宋_GB2312" w:eastAsia="仿宋_GB2312" w:cs="仿宋_GB2312"/>
          <w:color w:val="auto"/>
          <w:sz w:val="28"/>
          <w:szCs w:val="28"/>
          <w:highlight w:val="none"/>
          <w:lang w:val="en-US" w:eastAsia="zh-CN"/>
        </w:rPr>
        <w:t>4个指标。</w:t>
      </w:r>
    </w:p>
    <w:p>
      <w:pPr>
        <w:numPr>
          <w:numId w:val="0"/>
        </w:numPr>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lang w:eastAsia="zh-CN"/>
        </w:rPr>
        <w:t>羊肉</w:t>
      </w:r>
      <w:r>
        <w:rPr>
          <w:rFonts w:ascii="仿宋_GB2312" w:hAnsi="仿宋_GB2312" w:eastAsia="仿宋_GB2312" w:cs="仿宋_GB2312"/>
          <w:color w:val="auto"/>
          <w:sz w:val="28"/>
          <w:szCs w:val="28"/>
          <w:highlight w:val="none"/>
        </w:rPr>
        <w:t>抽检项目包括</w:t>
      </w:r>
      <w:r>
        <w:rPr>
          <w:rFonts w:hint="eastAsia" w:ascii="仿宋_GB2312" w:hAnsi="仿宋_GB2312" w:eastAsia="仿宋_GB2312" w:cs="仿宋_GB2312"/>
          <w:color w:val="auto"/>
          <w:sz w:val="28"/>
          <w:szCs w:val="28"/>
          <w:highlight w:val="none"/>
          <w:lang w:eastAsia="zh-CN"/>
        </w:rPr>
        <w:t>克伦特罗、莱克多巴胺、恩诺沙星、磺胺类（总量）</w:t>
      </w:r>
      <w:r>
        <w:rPr>
          <w:rFonts w:hint="eastAsia" w:ascii="仿宋_GB2312" w:hAnsi="仿宋_GB2312" w:eastAsia="仿宋_GB2312" w:cs="仿宋_GB2312"/>
          <w:color w:val="auto"/>
          <w:sz w:val="28"/>
          <w:szCs w:val="28"/>
          <w:highlight w:val="none"/>
          <w:lang w:eastAsia="zh-CN"/>
        </w:rPr>
        <w:t>等</w:t>
      </w:r>
      <w:r>
        <w:rPr>
          <w:rFonts w:hint="eastAsia" w:ascii="仿宋_GB2312" w:hAnsi="仿宋_GB2312" w:eastAsia="仿宋_GB2312" w:cs="仿宋_GB2312"/>
          <w:color w:val="auto"/>
          <w:sz w:val="28"/>
          <w:szCs w:val="28"/>
          <w:highlight w:val="none"/>
          <w:lang w:val="en-US" w:eastAsia="zh-CN"/>
        </w:rPr>
        <w:t>4个指标</w:t>
      </w:r>
      <w:r>
        <w:rPr>
          <w:rFonts w:hint="eastAsia" w:ascii="仿宋_GB2312" w:hAnsi="仿宋_GB2312" w:eastAsia="仿宋_GB2312" w:cs="仿宋_GB2312"/>
          <w:color w:val="auto"/>
          <w:sz w:val="28"/>
          <w:szCs w:val="28"/>
          <w:highlight w:val="none"/>
        </w:rPr>
        <w:t>。</w:t>
      </w:r>
    </w:p>
    <w:p>
      <w:pPr>
        <w:numPr>
          <w:numId w:val="0"/>
        </w:numPr>
        <w:spacing w:line="560" w:lineRule="exact"/>
        <w:ind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w:t>
      </w:r>
      <w:bookmarkStart w:id="0" w:name="_GoBack"/>
      <w:bookmarkEnd w:id="0"/>
      <w:r>
        <w:rPr>
          <w:rFonts w:hint="eastAsia" w:ascii="仿宋_GB2312" w:hAnsi="仿宋_GB2312" w:eastAsia="仿宋_GB2312" w:cs="仿宋_GB2312"/>
          <w:color w:val="auto"/>
          <w:sz w:val="28"/>
          <w:szCs w:val="28"/>
          <w:highlight w:val="none"/>
          <w:lang w:eastAsia="zh-CN"/>
        </w:rPr>
        <w:t>牛肉</w:t>
      </w:r>
      <w:r>
        <w:rPr>
          <w:rFonts w:ascii="仿宋_GB2312" w:hAnsi="仿宋_GB2312" w:eastAsia="仿宋_GB2312" w:cs="仿宋_GB2312"/>
          <w:color w:val="auto"/>
          <w:sz w:val="28"/>
          <w:szCs w:val="28"/>
          <w:highlight w:val="none"/>
        </w:rPr>
        <w:t>抽检项目包括</w:t>
      </w:r>
      <w:r>
        <w:rPr>
          <w:rFonts w:hint="eastAsia" w:ascii="仿宋_GB2312" w:hAnsi="仿宋_GB2312" w:eastAsia="仿宋_GB2312" w:cs="仿宋_GB2312"/>
          <w:color w:val="auto"/>
          <w:sz w:val="28"/>
          <w:szCs w:val="28"/>
          <w:highlight w:val="none"/>
        </w:rPr>
        <w:t>磺胺类（总量）、克伦特罗、莱克多巴胺、地塞米松</w:t>
      </w:r>
      <w:r>
        <w:rPr>
          <w:rFonts w:hint="eastAsia" w:ascii="仿宋_GB2312" w:hAnsi="仿宋_GB2312" w:eastAsia="仿宋_GB2312" w:cs="仿宋_GB2312"/>
          <w:color w:val="auto"/>
          <w:sz w:val="28"/>
          <w:szCs w:val="28"/>
          <w:highlight w:val="none"/>
          <w:lang w:eastAsia="zh-CN"/>
        </w:rPr>
        <w:t>等</w:t>
      </w:r>
      <w:r>
        <w:rPr>
          <w:rFonts w:hint="eastAsia" w:ascii="仿宋_GB2312" w:hAnsi="仿宋_GB2312" w:eastAsia="仿宋_GB2312" w:cs="仿宋_GB2312"/>
          <w:color w:val="auto"/>
          <w:sz w:val="28"/>
          <w:szCs w:val="28"/>
          <w:highlight w:val="none"/>
          <w:lang w:val="en-US" w:eastAsia="zh-CN"/>
        </w:rPr>
        <w:t>4个指标</w:t>
      </w:r>
      <w:r>
        <w:rPr>
          <w:rFonts w:hint="eastAsia" w:ascii="仿宋_GB2312" w:hAnsi="仿宋_GB2312" w:eastAsia="仿宋_GB2312" w:cs="仿宋_GB2312"/>
          <w:color w:val="auto"/>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both"/>
        <w:textAlignment w:val="auto"/>
        <w:rPr>
          <w:rFonts w:hint="eastAsia" w:ascii="仿宋" w:hAnsi="仿宋" w:eastAsia="仿宋" w:cs="仿宋"/>
          <w:b w:val="0"/>
          <w:bCs/>
          <w:color w:val="auto"/>
          <w:sz w:val="28"/>
          <w:szCs w:val="28"/>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1D31AD"/>
    <w:multiLevelType w:val="singleLevel"/>
    <w:tmpl w:val="BA1D31A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E101E"/>
    <w:rsid w:val="00281629"/>
    <w:rsid w:val="0068107E"/>
    <w:rsid w:val="00CE101E"/>
    <w:rsid w:val="04456311"/>
    <w:rsid w:val="04786902"/>
    <w:rsid w:val="05461694"/>
    <w:rsid w:val="0713624C"/>
    <w:rsid w:val="07851005"/>
    <w:rsid w:val="09676333"/>
    <w:rsid w:val="0F874903"/>
    <w:rsid w:val="10AC6976"/>
    <w:rsid w:val="128A2B5A"/>
    <w:rsid w:val="13252FC9"/>
    <w:rsid w:val="13C801AB"/>
    <w:rsid w:val="17CA29BA"/>
    <w:rsid w:val="194339C5"/>
    <w:rsid w:val="19D776A4"/>
    <w:rsid w:val="1B055F09"/>
    <w:rsid w:val="1BC0005E"/>
    <w:rsid w:val="1D163B69"/>
    <w:rsid w:val="1D987583"/>
    <w:rsid w:val="1D9C0282"/>
    <w:rsid w:val="1E982414"/>
    <w:rsid w:val="1F767042"/>
    <w:rsid w:val="21281328"/>
    <w:rsid w:val="23FE0F97"/>
    <w:rsid w:val="27457CE6"/>
    <w:rsid w:val="2AE36776"/>
    <w:rsid w:val="2B701B4F"/>
    <w:rsid w:val="2C583D4C"/>
    <w:rsid w:val="2D517FA9"/>
    <w:rsid w:val="2D6C1E24"/>
    <w:rsid w:val="2D6D72A7"/>
    <w:rsid w:val="2DF01796"/>
    <w:rsid w:val="2FE21172"/>
    <w:rsid w:val="300B3BCD"/>
    <w:rsid w:val="30D046D0"/>
    <w:rsid w:val="324D1414"/>
    <w:rsid w:val="339104C0"/>
    <w:rsid w:val="339F788A"/>
    <w:rsid w:val="378459AF"/>
    <w:rsid w:val="383D25D9"/>
    <w:rsid w:val="38B0301B"/>
    <w:rsid w:val="3AAE4461"/>
    <w:rsid w:val="3BF32C3C"/>
    <w:rsid w:val="3DAC304B"/>
    <w:rsid w:val="3FFF7AD1"/>
    <w:rsid w:val="41141041"/>
    <w:rsid w:val="42F81A2F"/>
    <w:rsid w:val="436676E6"/>
    <w:rsid w:val="43CA42BF"/>
    <w:rsid w:val="469E6415"/>
    <w:rsid w:val="485204BD"/>
    <w:rsid w:val="48B11654"/>
    <w:rsid w:val="48F84EE6"/>
    <w:rsid w:val="49C4320F"/>
    <w:rsid w:val="4A905365"/>
    <w:rsid w:val="4A986062"/>
    <w:rsid w:val="4D470117"/>
    <w:rsid w:val="4E39155A"/>
    <w:rsid w:val="515A65F4"/>
    <w:rsid w:val="52CD0A2E"/>
    <w:rsid w:val="57301D40"/>
    <w:rsid w:val="578C27F0"/>
    <w:rsid w:val="57B07FB9"/>
    <w:rsid w:val="5B3550D5"/>
    <w:rsid w:val="5C515FEB"/>
    <w:rsid w:val="5F183C77"/>
    <w:rsid w:val="5FA1024F"/>
    <w:rsid w:val="60023C75"/>
    <w:rsid w:val="60967457"/>
    <w:rsid w:val="610D61CB"/>
    <w:rsid w:val="61412947"/>
    <w:rsid w:val="62593987"/>
    <w:rsid w:val="672273AB"/>
    <w:rsid w:val="6B0517C8"/>
    <w:rsid w:val="6B5F56A3"/>
    <w:rsid w:val="6DC741E9"/>
    <w:rsid w:val="6F2F1E2C"/>
    <w:rsid w:val="70FF57EE"/>
    <w:rsid w:val="71234978"/>
    <w:rsid w:val="7168783D"/>
    <w:rsid w:val="73467EAC"/>
    <w:rsid w:val="73D33D9E"/>
    <w:rsid w:val="73EC1C6A"/>
    <w:rsid w:val="740A2B21"/>
    <w:rsid w:val="78187935"/>
    <w:rsid w:val="7A1E55EB"/>
    <w:rsid w:val="7C397CAA"/>
    <w:rsid w:val="7CB85E49"/>
    <w:rsid w:val="7D4B0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Words>
  <Characters>413</Characters>
  <Lines>3</Lines>
  <Paragraphs>1</Paragraphs>
  <TotalTime>6</TotalTime>
  <ScaleCrop>false</ScaleCrop>
  <LinksUpToDate>false</LinksUpToDate>
  <CharactersWithSpaces>484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2019-10-14T02:26:00Z</dcterms:created>
  <dc:creator>user</dc:creator>
  <cp:lastModifiedBy>lenovo</cp:lastModifiedBy>
  <cp:lastPrinted>2021-12-29T01:40:23Z</cp:lastPrinted>
  <dcterms:modified xsi:type="dcterms:W3CDTF">2021-12-29T01:40:27Z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9ABFEDFD8BFE481C89AC638C3A1568A5</vt:lpwstr>
  </property>
</Properties>
</file>