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default"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西城区发展和改革委员会</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rPr>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404040"/>
          <w:kern w:val="0"/>
          <w:sz w:val="32"/>
          <w:szCs w:val="32"/>
          <w:highlight w:val="none"/>
          <w:lang w:eastAsia="zh-CN"/>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000000" w:themeColor="text1"/>
          <w:kern w:val="0"/>
          <w:sz w:val="32"/>
          <w:szCs w:val="32"/>
          <w:highlight w:val="none"/>
          <w14:textFill>
            <w14:solidFill>
              <w14:schemeClr w14:val="tx1"/>
            </w14:solidFill>
          </w14:textFill>
        </w:rPr>
        <w:t xml:space="preserve"> </w:t>
      </w:r>
      <w:r>
        <w:rPr>
          <w:rFonts w:ascii="微软雅黑" w:hAnsi="微软雅黑" w:eastAsia="微软雅黑" w:cs="宋体"/>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本报告</w:t>
      </w:r>
      <w:r>
        <w:rPr>
          <w:rFonts w:hint="eastAsia" w:ascii="仿宋_GB2312" w:hAnsi="仿宋_GB2312" w:eastAsia="仿宋_GB2312" w:cs="仿宋_GB2312"/>
          <w:color w:val="404040"/>
          <w:kern w:val="0"/>
          <w:sz w:val="32"/>
          <w:szCs w:val="32"/>
          <w:highlight w:val="none"/>
        </w:rPr>
        <w:t>根据《中华人民共和国政府信息公开条例》和《北京市2021年政务公开工作要点》要求，由西城区发展和改革委员会编。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404040"/>
          <w:kern w:val="0"/>
          <w:sz w:val="32"/>
          <w:szCs w:val="32"/>
          <w:highlight w:val="none"/>
        </w:rPr>
      </w:pPr>
      <w:r>
        <w:rPr>
          <w:rFonts w:hint="eastAsia" w:ascii="仿宋_GB2312" w:hAnsi="仿宋_GB2312" w:eastAsia="仿宋_GB2312" w:cs="仿宋_GB2312"/>
          <w:color w:val="404040"/>
          <w:kern w:val="0"/>
          <w:sz w:val="32"/>
          <w:szCs w:val="32"/>
          <w:highlight w:val="none"/>
        </w:rPr>
        <w:t>全文包括北京市政府信息和政务公开20</w:t>
      </w:r>
      <w:r>
        <w:rPr>
          <w:rFonts w:hint="eastAsia" w:ascii="仿宋_GB2312" w:hAnsi="仿宋_GB2312" w:eastAsia="仿宋_GB2312" w:cs="仿宋_GB2312"/>
          <w:color w:val="404040"/>
          <w:kern w:val="0"/>
          <w:sz w:val="32"/>
          <w:szCs w:val="32"/>
          <w:highlight w:val="none"/>
          <w:lang w:val="en-US" w:eastAsia="zh-CN"/>
        </w:rPr>
        <w:t>21</w:t>
      </w:r>
      <w:r>
        <w:rPr>
          <w:rFonts w:hint="eastAsia" w:ascii="仿宋_GB2312" w:hAnsi="仿宋_GB2312" w:eastAsia="仿宋_GB2312" w:cs="仿宋_GB2312"/>
          <w:color w:val="404040"/>
          <w:kern w:val="0"/>
          <w:sz w:val="32"/>
          <w:szCs w:val="32"/>
          <w:highlight w:val="none"/>
        </w:rPr>
        <w:t>年度重点工作情况、主动公开、依申请公开（含不予公开、收费及减免）、行政复议、行政诉讼等政府信息公开相关数据</w:t>
      </w:r>
      <w:r>
        <w:rPr>
          <w:rFonts w:hint="eastAsia" w:ascii="仿宋_GB2312" w:hAnsi="仿宋_GB2312" w:eastAsia="仿宋_GB2312" w:cs="仿宋_GB2312"/>
          <w:color w:val="404040"/>
          <w:kern w:val="0"/>
          <w:sz w:val="32"/>
          <w:szCs w:val="32"/>
          <w:highlight w:val="none"/>
          <w:lang w:val="en-US" w:eastAsia="zh-CN"/>
        </w:rPr>
        <w:t>。以及</w:t>
      </w:r>
      <w:r>
        <w:rPr>
          <w:rFonts w:hint="eastAsia" w:ascii="仿宋_GB2312" w:hAnsi="仿宋_GB2312" w:eastAsia="仿宋_GB2312" w:cs="仿宋_GB2312"/>
          <w:color w:val="000000"/>
          <w:sz w:val="32"/>
          <w:szCs w:val="32"/>
          <w:highlight w:val="none"/>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404040"/>
          <w:kern w:val="0"/>
          <w:sz w:val="32"/>
          <w:szCs w:val="32"/>
          <w:highlight w:val="none"/>
        </w:rPr>
      </w:pPr>
      <w:r>
        <w:rPr>
          <w:rFonts w:hint="eastAsia" w:ascii="仿宋_GB2312" w:hAnsi="仿宋_GB2312" w:eastAsia="仿宋_GB2312" w:cs="仿宋_GB2312"/>
          <w:color w:val="404040"/>
          <w:kern w:val="0"/>
          <w:sz w:val="32"/>
          <w:szCs w:val="32"/>
          <w:highlight w:val="none"/>
        </w:rPr>
        <w:t>本报告中所列数据的统计期限自20</w:t>
      </w:r>
      <w:r>
        <w:rPr>
          <w:rFonts w:hint="eastAsia" w:ascii="仿宋_GB2312" w:hAnsi="仿宋_GB2312" w:eastAsia="仿宋_GB2312" w:cs="仿宋_GB2312"/>
          <w:color w:val="404040"/>
          <w:kern w:val="0"/>
          <w:sz w:val="32"/>
          <w:szCs w:val="32"/>
          <w:highlight w:val="none"/>
          <w:lang w:val="en-US" w:eastAsia="zh-CN"/>
        </w:rPr>
        <w:t>21</w:t>
      </w:r>
      <w:r>
        <w:rPr>
          <w:rFonts w:hint="eastAsia" w:ascii="仿宋_GB2312" w:hAnsi="仿宋_GB2312" w:eastAsia="仿宋_GB2312" w:cs="仿宋_GB2312"/>
          <w:color w:val="404040"/>
          <w:kern w:val="0"/>
          <w:sz w:val="32"/>
          <w:szCs w:val="32"/>
          <w:highlight w:val="none"/>
        </w:rPr>
        <w:t>年1月1日起至20</w:t>
      </w:r>
      <w:r>
        <w:rPr>
          <w:rFonts w:hint="eastAsia" w:ascii="仿宋_GB2312" w:hAnsi="仿宋_GB2312" w:eastAsia="仿宋_GB2312" w:cs="仿宋_GB2312"/>
          <w:color w:val="404040"/>
          <w:kern w:val="0"/>
          <w:sz w:val="32"/>
          <w:szCs w:val="32"/>
          <w:highlight w:val="none"/>
          <w:lang w:val="en-US" w:eastAsia="zh-CN"/>
        </w:rPr>
        <w:t>21</w:t>
      </w:r>
      <w:r>
        <w:rPr>
          <w:rFonts w:hint="eastAsia" w:ascii="仿宋_GB2312" w:hAnsi="仿宋_GB2312" w:eastAsia="仿宋_GB2312" w:cs="仿宋_GB2312"/>
          <w:color w:val="404040"/>
          <w:kern w:val="0"/>
          <w:sz w:val="32"/>
          <w:szCs w:val="32"/>
          <w:highlight w:val="none"/>
        </w:rPr>
        <w:t>年</w:t>
      </w:r>
      <w:r>
        <w:rPr>
          <w:rFonts w:hint="eastAsia" w:ascii="仿宋_GB2312" w:hAnsi="仿宋_GB2312" w:eastAsia="仿宋_GB2312" w:cs="仿宋_GB2312"/>
          <w:color w:val="404040"/>
          <w:kern w:val="0"/>
          <w:sz w:val="32"/>
          <w:szCs w:val="32"/>
          <w:highlight w:val="none"/>
          <w:lang w:val="en-US" w:eastAsia="zh-CN"/>
        </w:rPr>
        <w:t>12</w:t>
      </w:r>
      <w:r>
        <w:rPr>
          <w:rFonts w:hint="eastAsia" w:ascii="仿宋_GB2312" w:hAnsi="仿宋_GB2312" w:eastAsia="仿宋_GB2312" w:cs="仿宋_GB2312"/>
          <w:color w:val="404040"/>
          <w:kern w:val="0"/>
          <w:sz w:val="32"/>
          <w:szCs w:val="32"/>
          <w:highlight w:val="none"/>
        </w:rPr>
        <w:t>月</w:t>
      </w:r>
      <w:r>
        <w:rPr>
          <w:rFonts w:hint="eastAsia" w:ascii="仿宋_GB2312" w:hAnsi="仿宋_GB2312" w:eastAsia="仿宋_GB2312" w:cs="仿宋_GB2312"/>
          <w:color w:val="404040"/>
          <w:kern w:val="0"/>
          <w:sz w:val="32"/>
          <w:szCs w:val="32"/>
          <w:highlight w:val="none"/>
          <w:lang w:val="en-US" w:eastAsia="zh-CN"/>
        </w:rPr>
        <w:t>31</w:t>
      </w:r>
      <w:r>
        <w:rPr>
          <w:rFonts w:hint="eastAsia" w:ascii="仿宋_GB2312" w:hAnsi="仿宋_GB2312" w:eastAsia="仿宋_GB2312" w:cs="仿宋_GB2312"/>
          <w:color w:val="404040"/>
          <w:kern w:val="0"/>
          <w:sz w:val="32"/>
          <w:szCs w:val="32"/>
          <w:highlight w:val="none"/>
        </w:rPr>
        <w:t>日止。本报告的电子版可在西城区政府网站（http://www.bjxch.gov.cn）的政府信息公开专栏中下载。如对本报告有任何疑问，请与西城区发展和改革委员会办公室联系（地址：广安门南街2号；联系电话：010</w:t>
      </w:r>
      <w:r>
        <w:rPr>
          <w:rFonts w:hint="eastAsia" w:ascii="仿宋_GB2312" w:hAnsi="仿宋_GB2312" w:eastAsia="仿宋_GB2312" w:cs="仿宋_GB2312"/>
          <w:color w:val="404040"/>
          <w:kern w:val="0"/>
          <w:sz w:val="32"/>
          <w:szCs w:val="32"/>
          <w:highlight w:val="none"/>
          <w:lang w:val="en-US" w:eastAsia="zh-CN"/>
        </w:rPr>
        <w:t>-</w:t>
      </w:r>
      <w:r>
        <w:rPr>
          <w:rFonts w:hint="eastAsia" w:ascii="仿宋_GB2312" w:hAnsi="仿宋_GB2312" w:eastAsia="仿宋_GB2312" w:cs="仿宋_GB2312"/>
          <w:color w:val="404040"/>
          <w:kern w:val="0"/>
          <w:sz w:val="32"/>
          <w:szCs w:val="32"/>
          <w:highlight w:val="none"/>
        </w:rPr>
        <w:t>83926723）。</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404040"/>
          <w:kern w:val="0"/>
          <w:sz w:val="32"/>
          <w:szCs w:val="32"/>
          <w:highlight w:val="none"/>
          <w:lang w:eastAsia="zh-CN"/>
        </w:rPr>
      </w:pPr>
      <w:r>
        <w:rPr>
          <w:rFonts w:hint="eastAsia" w:ascii="黑体" w:hAnsi="黑体" w:eastAsia="黑体" w:cs="黑体"/>
          <w:color w:val="404040"/>
          <w:kern w:val="0"/>
          <w:sz w:val="32"/>
          <w:szCs w:val="32"/>
          <w:highlight w:val="none"/>
          <w:lang w:eastAsia="zh-CN"/>
        </w:rPr>
        <w:t>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color w:val="404040"/>
          <w:kern w:val="0"/>
          <w:sz w:val="32"/>
          <w:szCs w:val="32"/>
          <w:highlight w:val="none"/>
        </w:rPr>
        <w:t> 20</w:t>
      </w:r>
      <w:r>
        <w:rPr>
          <w:rFonts w:hint="eastAsia" w:ascii="仿宋_GB2312" w:hAnsi="仿宋_GB2312" w:eastAsia="仿宋_GB2312" w:cs="仿宋_GB2312"/>
          <w:color w:val="404040"/>
          <w:kern w:val="0"/>
          <w:sz w:val="32"/>
          <w:szCs w:val="32"/>
          <w:highlight w:val="none"/>
          <w:lang w:val="en-US" w:eastAsia="zh-CN"/>
        </w:rPr>
        <w:t>21</w:t>
      </w:r>
      <w:r>
        <w:rPr>
          <w:rFonts w:hint="eastAsia" w:ascii="仿宋_GB2312" w:hAnsi="仿宋_GB2312" w:eastAsia="仿宋_GB2312" w:cs="仿宋_GB2312"/>
          <w:color w:val="404040"/>
          <w:kern w:val="0"/>
          <w:sz w:val="32"/>
          <w:szCs w:val="32"/>
          <w:highlight w:val="none"/>
        </w:rPr>
        <w:t>年，面对国际环境复杂多变、国内经济困难增多的形势，我委全面贯彻中央、市委及区委重大部署及会议精神，</w:t>
      </w:r>
      <w:r>
        <w:rPr>
          <w:rFonts w:hint="eastAsia" w:ascii="仿宋_GB2312" w:hAnsi="宋体" w:eastAsia="仿宋_GB2312"/>
          <w:sz w:val="32"/>
          <w:szCs w:val="32"/>
          <w:highlight w:val="none"/>
        </w:rPr>
        <w:t>坚持以习近平新时代中国特色社</w:t>
      </w:r>
      <w:r>
        <w:rPr>
          <w:rFonts w:hint="eastAsia" w:ascii="仿宋_GB2312" w:hAnsi="宋体" w:eastAsia="仿宋_GB2312"/>
          <w:color w:val="auto"/>
          <w:sz w:val="32"/>
          <w:szCs w:val="32"/>
          <w:highlight w:val="none"/>
        </w:rPr>
        <w:t>会主义思想为指导，深入落实首都城市战略定位，</w:t>
      </w:r>
      <w:r>
        <w:rPr>
          <w:rFonts w:hint="eastAsia" w:ascii="仿宋_GB2312" w:hAnsi="仿宋_GB2312" w:eastAsia="仿宋_GB2312" w:cs="仿宋_GB2312"/>
          <w:color w:val="404040"/>
          <w:kern w:val="0"/>
          <w:sz w:val="32"/>
          <w:szCs w:val="32"/>
          <w:highlight w:val="none"/>
        </w:rPr>
        <w:t>凝心聚力、攻坚克难，坚持以人民为中心，紧紧围绕发展改革中心工作，在推进信息公开、解读回应、公众参与、平台建设等方面积极探索、努力创新，较好地实现了以公开促落实、促规范、促服务，不断提高政府信息和政务公开的质量和实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组织上，我委</w:t>
      </w:r>
      <w:r>
        <w:rPr>
          <w:rFonts w:hint="eastAsia" w:ascii="仿宋_GB2312" w:hAnsi="宋体" w:eastAsia="仿宋_GB2312" w:cs="Times New Roman"/>
          <w:sz w:val="32"/>
          <w:szCs w:val="32"/>
          <w:highlight w:val="none"/>
        </w:rPr>
        <w:t>加强政务公开组织领导，成立以主要领导为组长的西城区</w:t>
      </w:r>
      <w:r>
        <w:rPr>
          <w:rFonts w:hint="eastAsia" w:ascii="仿宋_GB2312" w:hAnsi="宋体" w:eastAsia="仿宋_GB2312" w:cs="Times New Roman"/>
          <w:sz w:val="32"/>
          <w:szCs w:val="32"/>
          <w:highlight w:val="none"/>
          <w:lang w:eastAsia="zh-CN"/>
        </w:rPr>
        <w:t>发展和改革委员会</w:t>
      </w:r>
      <w:r>
        <w:rPr>
          <w:rFonts w:hint="eastAsia" w:ascii="仿宋_GB2312" w:hAnsi="宋体" w:eastAsia="仿宋_GB2312" w:cs="Times New Roman"/>
          <w:sz w:val="32"/>
          <w:szCs w:val="32"/>
          <w:highlight w:val="none"/>
        </w:rPr>
        <w:t>政务公开领导小组，领导小组下设办公室，并配备</w:t>
      </w:r>
      <w:r>
        <w:rPr>
          <w:rFonts w:hint="eastAsia" w:ascii="仿宋_GB2312" w:hAnsi="宋体" w:eastAsia="仿宋_GB2312" w:cs="Times New Roman"/>
          <w:sz w:val="32"/>
          <w:szCs w:val="32"/>
          <w:highlight w:val="none"/>
          <w:lang w:eastAsia="zh-CN"/>
        </w:rPr>
        <w:t>相应工作人员，</w:t>
      </w:r>
      <w:r>
        <w:rPr>
          <w:rFonts w:hint="eastAsia" w:ascii="仿宋_GB2312" w:hAnsi="宋体" w:eastAsia="仿宋_GB2312" w:cs="Times New Roman"/>
          <w:sz w:val="32"/>
          <w:szCs w:val="32"/>
          <w:highlight w:val="none"/>
        </w:rPr>
        <w:t>提升对信息公开工作的重视程度，提高政府信息公开工作责任感和自觉性。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工作上，我委</w:t>
      </w:r>
      <w:r>
        <w:rPr>
          <w:rFonts w:hint="eastAsia" w:ascii="仿宋_GB2312" w:hAnsi="宋体" w:eastAsia="仿宋_GB2312" w:cs="Times New Roman"/>
          <w:sz w:val="32"/>
          <w:szCs w:val="32"/>
          <w:highlight w:val="none"/>
        </w:rPr>
        <w:t>持续做好对政府信息公开</w:t>
      </w:r>
      <w:r>
        <w:rPr>
          <w:rFonts w:hint="eastAsia" w:ascii="仿宋_GB2312" w:hAnsi="宋体" w:eastAsia="仿宋_GB2312" w:cs="Times New Roman"/>
          <w:sz w:val="32"/>
          <w:szCs w:val="32"/>
          <w:highlight w:val="none"/>
          <w:lang w:eastAsia="zh-CN"/>
        </w:rPr>
        <w:t>工作</w:t>
      </w:r>
      <w:r>
        <w:rPr>
          <w:rFonts w:hint="eastAsia" w:ascii="仿宋_GB2312" w:hAnsi="宋体" w:eastAsia="仿宋_GB2312" w:cs="Times New Roman"/>
          <w:sz w:val="32"/>
          <w:szCs w:val="32"/>
          <w:highlight w:val="none"/>
        </w:rPr>
        <w:t>，确保接待场所电脑、电话、传真机等办公设备使用正常，确保网络的通畅，及时查收邮件。20</w:t>
      </w:r>
      <w:r>
        <w:rPr>
          <w:rFonts w:hint="eastAsia" w:ascii="仿宋_GB2312" w:hAnsi="宋体" w:eastAsia="仿宋_GB2312" w:cs="Times New Roman"/>
          <w:sz w:val="32"/>
          <w:szCs w:val="32"/>
          <w:highlight w:val="none"/>
          <w:lang w:val="en-US" w:eastAsia="zh-CN"/>
        </w:rPr>
        <w:t>21</w:t>
      </w:r>
      <w:r>
        <w:rPr>
          <w:rFonts w:hint="eastAsia" w:ascii="仿宋_GB2312" w:hAnsi="宋体" w:eastAsia="仿宋_GB2312" w:cs="Times New Roman"/>
          <w:sz w:val="32"/>
          <w:szCs w:val="32"/>
          <w:highlight w:val="none"/>
        </w:rPr>
        <w:t>年，本单位政府信息公开工作正常运转</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全年主动公开政府</w:t>
      </w:r>
      <w:r>
        <w:rPr>
          <w:rFonts w:hint="eastAsia" w:ascii="仿宋_GB2312" w:hAnsi="宋体" w:eastAsia="仿宋_GB2312" w:cs="Times New Roman"/>
          <w:sz w:val="32"/>
          <w:szCs w:val="32"/>
          <w:highlight w:val="none"/>
          <w:lang w:eastAsia="zh-CN"/>
        </w:rPr>
        <w:t>信息</w:t>
      </w:r>
      <w:r>
        <w:rPr>
          <w:rFonts w:hint="eastAsia" w:ascii="仿宋_GB2312" w:hAnsi="宋体" w:eastAsia="仿宋_GB2312" w:cs="Times New Roman"/>
          <w:sz w:val="32"/>
          <w:szCs w:val="32"/>
          <w:highlight w:val="none"/>
          <w:lang w:val="en-US" w:eastAsia="zh-CN"/>
        </w:rPr>
        <w:t>98</w:t>
      </w:r>
      <w:r>
        <w:rPr>
          <w:rFonts w:hint="eastAsia" w:ascii="仿宋_GB2312" w:hAnsi="宋体" w:eastAsia="仿宋_GB2312" w:cs="Times New Roman"/>
          <w:sz w:val="32"/>
          <w:szCs w:val="32"/>
          <w:highlight w:val="none"/>
        </w:rPr>
        <w:t>条</w:t>
      </w:r>
      <w:r>
        <w:rPr>
          <w:rFonts w:hint="eastAsia" w:ascii="仿宋_GB2312" w:hAnsi="宋体" w:eastAsia="仿宋_GB2312" w:cs="Times New Roman"/>
          <w:sz w:val="32"/>
          <w:szCs w:val="32"/>
          <w:highlight w:val="none"/>
          <w:lang w:eastAsia="zh-CN"/>
        </w:rPr>
        <w:t>，其中通过微信公众号发布原创信息</w:t>
      </w:r>
      <w:r>
        <w:rPr>
          <w:rFonts w:hint="eastAsia" w:ascii="仿宋_GB2312" w:hAnsi="宋体" w:eastAsia="仿宋_GB2312" w:cs="Times New Roman"/>
          <w:sz w:val="32"/>
          <w:szCs w:val="32"/>
          <w:highlight w:val="none"/>
          <w:lang w:val="en-US" w:eastAsia="zh-CN"/>
        </w:rPr>
        <w:t>50条，通过西城区人民政府官网发布信息48条。</w:t>
      </w:r>
      <w:r>
        <w:rPr>
          <w:rFonts w:hint="eastAsia" w:ascii="仿宋_GB2312" w:hAnsi="宋体" w:eastAsia="仿宋_GB2312" w:cs="Times New Roman"/>
          <w:sz w:val="32"/>
          <w:szCs w:val="32"/>
          <w:highlight w:val="none"/>
        </w:rPr>
        <w:t>全年收到依申请</w:t>
      </w:r>
      <w:r>
        <w:rPr>
          <w:rFonts w:hint="eastAsia" w:ascii="仿宋_GB2312" w:hAnsi="宋体" w:eastAsia="仿宋_GB2312" w:cs="Times New Roman"/>
          <w:sz w:val="32"/>
          <w:szCs w:val="32"/>
          <w:highlight w:val="none"/>
          <w:lang w:eastAsia="zh-CN"/>
        </w:rPr>
        <w:t>公开</w:t>
      </w:r>
      <w:r>
        <w:rPr>
          <w:rFonts w:hint="eastAsia" w:ascii="仿宋_GB2312" w:hAnsi="宋体" w:eastAsia="仿宋_GB2312" w:cs="Times New Roman"/>
          <w:sz w:val="32"/>
          <w:szCs w:val="32"/>
          <w:highlight w:val="none"/>
        </w:rPr>
        <w:t>信息</w:t>
      </w:r>
      <w:r>
        <w:rPr>
          <w:rFonts w:hint="eastAsia" w:ascii="仿宋_GB2312" w:hAnsi="宋体" w:eastAsia="仿宋_GB2312" w:cs="Times New Roman"/>
          <w:sz w:val="32"/>
          <w:szCs w:val="32"/>
          <w:highlight w:val="none"/>
          <w:lang w:val="en-US" w:eastAsia="zh-CN"/>
        </w:rPr>
        <w:t>44</w:t>
      </w:r>
      <w:r>
        <w:rPr>
          <w:rFonts w:hint="eastAsia" w:ascii="仿宋_GB2312" w:hAnsi="宋体" w:eastAsia="仿宋_GB2312" w:cs="Times New Roman"/>
          <w:sz w:val="32"/>
          <w:szCs w:val="32"/>
          <w:highlight w:val="none"/>
        </w:rPr>
        <w:t>件</w:t>
      </w:r>
      <w:r>
        <w:rPr>
          <w:rFonts w:hint="eastAsia" w:ascii="仿宋_GB2312" w:hAnsi="宋体" w:eastAsia="仿宋_GB2312" w:cs="Times New Roman"/>
          <w:sz w:val="32"/>
          <w:szCs w:val="32"/>
          <w:highlight w:val="none"/>
          <w:lang w:eastAsia="zh-CN"/>
        </w:rPr>
        <w:t>，同比增加</w:t>
      </w:r>
      <w:r>
        <w:rPr>
          <w:rFonts w:hint="eastAsia" w:ascii="仿宋_GB2312" w:hAnsi="宋体" w:eastAsia="仿宋_GB2312" w:cs="Times New Roman"/>
          <w:sz w:val="32"/>
          <w:szCs w:val="32"/>
          <w:highlight w:val="none"/>
          <w:lang w:val="en-US" w:eastAsia="zh-CN"/>
        </w:rPr>
        <w:t>159%。营造共建共治共享政务公开氛围，</w:t>
      </w:r>
      <w:r>
        <w:rPr>
          <w:rFonts w:hint="eastAsia" w:ascii="仿宋_GB2312" w:hAnsi="宋体" w:eastAsia="仿宋_GB2312" w:cs="Times New Roman"/>
          <w:sz w:val="32"/>
          <w:szCs w:val="32"/>
          <w:highlight w:val="none"/>
          <w:lang w:eastAsia="zh-CN"/>
        </w:rPr>
        <w:t>面对疫情防控常态化的要求，创新性地开展线上“2021 年西城区发展和改革委员会政务开放日和向公众报告活动”，</w:t>
      </w:r>
      <w:r>
        <w:rPr>
          <w:rFonts w:hint="eastAsia" w:ascii="仿宋_GB2312" w:hAnsi="Calibri" w:eastAsia="仿宋_GB2312" w:cs="Times New Roman"/>
          <w:kern w:val="2"/>
          <w:sz w:val="32"/>
          <w:szCs w:val="32"/>
          <w:highlight w:val="none"/>
          <w:lang w:val="en-US" w:eastAsia="zh-CN" w:bidi="ar-SA"/>
        </w:rPr>
        <w:t>积极回应群众关切，切实接受群众监督。</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主动公开政府信息情况</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rPr>
          <w:rFonts w:ascii="仿宋_GB2312" w:hAnsi="宋体" w:eastAsia="仿宋_GB2312" w:cs="仿宋_GB2312"/>
          <w:b w:val="0"/>
          <w:i w:val="0"/>
          <w:caps w:val="0"/>
          <w:color w:val="333333"/>
          <w:spacing w:val="0"/>
          <w:sz w:val="31"/>
          <w:szCs w:val="31"/>
          <w:highlight w:val="none"/>
          <w:shd w:val="clear" w:color="auto" w:fill="FFFFFF"/>
        </w:rPr>
      </w:pPr>
      <w:r>
        <w:rPr>
          <w:rFonts w:ascii="仿宋_GB2312" w:hAnsi="宋体" w:eastAsia="仿宋_GB2312" w:cs="仿宋_GB2312"/>
          <w:b w:val="0"/>
          <w:i w:val="0"/>
          <w:caps w:val="0"/>
          <w:color w:val="333333"/>
          <w:spacing w:val="0"/>
          <w:sz w:val="31"/>
          <w:szCs w:val="31"/>
          <w:highlight w:val="none"/>
          <w:shd w:val="clear" w:color="auto" w:fill="FFFFFF"/>
        </w:rPr>
        <w:t>202</w:t>
      </w:r>
      <w:r>
        <w:rPr>
          <w:rFonts w:hint="eastAsia" w:ascii="仿宋_GB2312" w:hAnsi="宋体" w:eastAsia="仿宋_GB2312" w:cs="仿宋_GB2312"/>
          <w:b w:val="0"/>
          <w:i w:val="0"/>
          <w:caps w:val="0"/>
          <w:color w:val="333333"/>
          <w:spacing w:val="0"/>
          <w:sz w:val="31"/>
          <w:szCs w:val="31"/>
          <w:highlight w:val="none"/>
          <w:shd w:val="clear" w:color="auto" w:fill="FFFFFF"/>
          <w:lang w:val="en-US" w:eastAsia="zh-CN"/>
        </w:rPr>
        <w:t>1</w:t>
      </w:r>
      <w:r>
        <w:rPr>
          <w:rFonts w:ascii="仿宋_GB2312" w:hAnsi="宋体" w:eastAsia="仿宋_GB2312" w:cs="仿宋_GB2312"/>
          <w:b w:val="0"/>
          <w:i w:val="0"/>
          <w:caps w:val="0"/>
          <w:color w:val="333333"/>
          <w:spacing w:val="0"/>
          <w:sz w:val="31"/>
          <w:szCs w:val="31"/>
          <w:highlight w:val="none"/>
          <w:shd w:val="clear" w:color="auto" w:fill="FFFFFF"/>
        </w:rPr>
        <w:t>年，我委主动公开政府信息</w:t>
      </w:r>
      <w:r>
        <w:rPr>
          <w:rFonts w:hint="eastAsia" w:ascii="仿宋_GB2312" w:hAnsi="宋体" w:eastAsia="仿宋_GB2312" w:cs="仿宋_GB2312"/>
          <w:b w:val="0"/>
          <w:i w:val="0"/>
          <w:caps w:val="0"/>
          <w:color w:val="333333"/>
          <w:spacing w:val="0"/>
          <w:sz w:val="31"/>
          <w:szCs w:val="31"/>
          <w:highlight w:val="none"/>
          <w:shd w:val="clear" w:color="auto" w:fill="FFFFFF"/>
          <w:lang w:val="en-US" w:eastAsia="zh-CN"/>
        </w:rPr>
        <w:t>98</w:t>
      </w:r>
      <w:r>
        <w:rPr>
          <w:rFonts w:ascii="仿宋_GB2312" w:hAnsi="宋体" w:eastAsia="仿宋_GB2312" w:cs="仿宋_GB2312"/>
          <w:b w:val="0"/>
          <w:i w:val="0"/>
          <w:caps w:val="0"/>
          <w:color w:val="333333"/>
          <w:spacing w:val="0"/>
          <w:sz w:val="31"/>
          <w:szCs w:val="31"/>
          <w:highlight w:val="none"/>
          <w:shd w:val="clear" w:color="auto" w:fill="FFFFFF"/>
        </w:rPr>
        <w:t>条，其中规范性文件</w:t>
      </w:r>
      <w:r>
        <w:rPr>
          <w:rFonts w:hint="eastAsia" w:ascii="仿宋_GB2312" w:hAnsi="宋体" w:eastAsia="仿宋_GB2312" w:cs="仿宋_GB2312"/>
          <w:b w:val="0"/>
          <w:i w:val="0"/>
          <w:caps w:val="0"/>
          <w:color w:val="333333"/>
          <w:spacing w:val="0"/>
          <w:sz w:val="31"/>
          <w:szCs w:val="31"/>
          <w:highlight w:val="none"/>
          <w:shd w:val="clear" w:color="auto" w:fill="FFFFFF"/>
          <w:lang w:val="en-US" w:eastAsia="zh-CN"/>
        </w:rPr>
        <w:t>1</w:t>
      </w:r>
      <w:r>
        <w:rPr>
          <w:rFonts w:ascii="仿宋_GB2312" w:hAnsi="宋体" w:eastAsia="仿宋_GB2312" w:cs="仿宋_GB2312"/>
          <w:b w:val="0"/>
          <w:i w:val="0"/>
          <w:caps w:val="0"/>
          <w:color w:val="333333"/>
          <w:spacing w:val="0"/>
          <w:sz w:val="31"/>
          <w:szCs w:val="31"/>
          <w:highlight w:val="none"/>
          <w:shd w:val="clear" w:color="auto" w:fill="FFFFFF"/>
        </w:rPr>
        <w:t>条，制发的规范性文件100%公开。主动公开重点领域信息（财政预决算、“三公经费”和行政经费信息）3条</w:t>
      </w:r>
      <w:r>
        <w:rPr>
          <w:rFonts w:hint="eastAsia" w:ascii="仿宋_GB2312" w:hAnsi="宋体" w:eastAsia="仿宋_GB2312" w:cs="仿宋_GB2312"/>
          <w:b w:val="0"/>
          <w:i w:val="0"/>
          <w:caps w:val="0"/>
          <w:color w:val="333333"/>
          <w:spacing w:val="0"/>
          <w:sz w:val="31"/>
          <w:szCs w:val="31"/>
          <w:highlight w:val="none"/>
          <w:shd w:val="clear" w:color="auto" w:fill="FFFFFF"/>
          <w:lang w:eastAsia="zh-CN"/>
        </w:rPr>
        <w:t>，</w:t>
      </w:r>
      <w:r>
        <w:rPr>
          <w:rFonts w:hint="eastAsia" w:ascii="仿宋_GB2312" w:hAnsi="宋体" w:eastAsia="仿宋_GB2312" w:cs="仿宋_GB2312"/>
          <w:b w:val="0"/>
          <w:i w:val="0"/>
          <w:caps w:val="0"/>
          <w:color w:val="333333"/>
          <w:spacing w:val="0"/>
          <w:sz w:val="31"/>
          <w:szCs w:val="31"/>
          <w:highlight w:val="none"/>
          <w:shd w:val="clear" w:color="auto" w:fill="FFFFFF"/>
          <w:lang w:val="en-US" w:eastAsia="zh-CN"/>
        </w:rPr>
        <w:t>围绕“十四五”规划、优化营商环境、节能降耗等群众关注的热点发布政策解读3条</w:t>
      </w:r>
      <w:r>
        <w:rPr>
          <w:rFonts w:ascii="仿宋_GB2312" w:hAnsi="宋体" w:eastAsia="仿宋_GB2312" w:cs="仿宋_GB2312"/>
          <w:b w:val="0"/>
          <w:i w:val="0"/>
          <w:caps w:val="0"/>
          <w:color w:val="333333"/>
          <w:spacing w:val="0"/>
          <w:sz w:val="31"/>
          <w:szCs w:val="31"/>
          <w:highlight w:val="none"/>
          <w:shd w:val="clear" w:color="auto" w:fill="FFFFFF"/>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宋体" w:eastAsia="仿宋_GB2312" w:cs="仿宋_GB2312"/>
          <w:b w:val="0"/>
          <w:i w:val="0"/>
          <w:caps w:val="0"/>
          <w:color w:val="333333"/>
          <w:spacing w:val="0"/>
          <w:sz w:val="31"/>
          <w:szCs w:val="31"/>
          <w:highlight w:val="none"/>
          <w:shd w:val="clear" w:color="auto" w:fill="FFFFFF"/>
          <w:lang w:eastAsia="zh-CN"/>
        </w:rPr>
      </w:pPr>
    </w:p>
    <w:p>
      <w:pPr>
        <w:pStyle w:val="6"/>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宋体" w:eastAsia="仿宋_GB2312" w:cs="仿宋_GB2312"/>
          <w:b w:val="0"/>
          <w:i w:val="0"/>
          <w:caps w:val="0"/>
          <w:color w:val="333333"/>
          <w:spacing w:val="0"/>
          <w:sz w:val="31"/>
          <w:szCs w:val="31"/>
          <w:highlight w:val="none"/>
          <w:shd w:val="clear" w:color="auto" w:fill="FFFFFF"/>
          <w:lang w:eastAsia="zh-CN"/>
        </w:rPr>
      </w:pPr>
    </w:p>
    <w:p>
      <w:pPr>
        <w:pStyle w:val="6"/>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宋体" w:eastAsia="仿宋_GB2312" w:cs="仿宋_GB2312"/>
          <w:b w:val="0"/>
          <w:i w:val="0"/>
          <w:caps w:val="0"/>
          <w:color w:val="333333"/>
          <w:spacing w:val="0"/>
          <w:sz w:val="31"/>
          <w:szCs w:val="31"/>
          <w:highlight w:val="none"/>
          <w:shd w:val="clear" w:color="auto" w:fill="FFFFFF"/>
          <w:lang w:eastAsia="zh-CN"/>
        </w:rPr>
      </w:pP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现行有效件</w:t>
            </w:r>
            <w:r>
              <w:rPr>
                <w:rFonts w:hint="eastAsia" w:ascii="宋体" w:hAnsi="宋体"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eastAsia="zh-CN"/>
              </w:rPr>
            </w:pPr>
            <w:r>
              <w:rPr>
                <w:rFonts w:hint="eastAsia"/>
                <w:sz w:val="15"/>
                <w:highlight w:val="none"/>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eastAsia="zh-CN"/>
              </w:rPr>
            </w:pPr>
            <w:r>
              <w:rPr>
                <w:rFonts w:hint="eastAsia"/>
                <w:highlight w:val="none"/>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sz w:val="15"/>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仿宋_GB2312" w:eastAsia="仿宋_GB2312"/>
                <w:kern w:val="0"/>
                <w:sz w:val="21"/>
                <w:szCs w:val="21"/>
                <w:highlight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仿宋_GB2312" w:eastAsia="仿宋_GB2312"/>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仿宋_GB2312" w:eastAsia="仿宋_GB2312"/>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sz w:val="24"/>
                <w:szCs w:val="24"/>
                <w:highlight w:val="none"/>
              </w:rPr>
            </w:pPr>
            <w:r>
              <w:rPr>
                <w:rFonts w:hint="eastAsia" w:ascii="仿宋_GB2312" w:eastAsia="仿宋_GB2312"/>
                <w:kern w:val="0"/>
                <w:sz w:val="21"/>
                <w:szCs w:val="21"/>
                <w:highlight w:val="none"/>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0" w:firstLineChars="0"/>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三、收到和处理政府信息公开申请情况</w:t>
      </w:r>
    </w:p>
    <w:tbl>
      <w:tblPr>
        <w:tblStyle w:val="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（本列数据的勾稽关系为：第一项加第二项之和，等于第三项加第四项之和）</w:t>
            </w:r>
          </w:p>
        </w:tc>
        <w:tc>
          <w:tcPr>
            <w:tcW w:w="4820" w:type="dxa"/>
            <w:gridSpan w:val="7"/>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709" w:type="dxa"/>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自然人</w:t>
            </w:r>
          </w:p>
        </w:tc>
        <w:tc>
          <w:tcPr>
            <w:tcW w:w="3402" w:type="dxa"/>
            <w:gridSpan w:val="5"/>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法人或其他组织</w:t>
            </w:r>
          </w:p>
        </w:tc>
        <w:tc>
          <w:tcPr>
            <w:tcW w:w="709" w:type="dxa"/>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709" w:type="dxa"/>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商业企业</w:t>
            </w: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科研机构</w:t>
            </w:r>
          </w:p>
        </w:tc>
        <w:tc>
          <w:tcPr>
            <w:tcW w:w="708"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社会公益组织</w:t>
            </w: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法律服务机构</w:t>
            </w:r>
          </w:p>
        </w:tc>
        <w:tc>
          <w:tcPr>
            <w:tcW w:w="567"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w:t>
            </w:r>
          </w:p>
        </w:tc>
        <w:tc>
          <w:tcPr>
            <w:tcW w:w="709"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一、本年新收政府信息公开申请数量</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44</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二、上年结转政府信息公开申请数量</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highlight w:val="none"/>
                <w:lang w:val="en-US"/>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highlight w:val="none"/>
                <w:lang w:val="en-US"/>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highlight w:val="none"/>
                <w:lang w:val="en-US"/>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highlight w:val="none"/>
                <w:lang w:val="en-US"/>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highlight w:val="none"/>
                <w:lang w:val="en-US"/>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三、本年度办理结果</w:t>
            </w: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（一）予以公开</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3</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（二）部分公开（区分处理的，只计这一情形，不计其他情形）</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（三）不予</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公开</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1.属于国家秘密</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eastAsia="宋体"/>
                <w:highlight w:val="none"/>
                <w:lang w:val="en-US" w:eastAsia="zh-CN"/>
              </w:rPr>
              <w:t>1</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2.其他法律行政法规禁止公开</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3.危及“三安全一稳定”</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4.保护第三方合法权益</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5.属于三类内部事务信息</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6.属于四类过程性信息</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3</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7.属于行政执法案卷</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8.属于行政查询事项</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（四）无法</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提供</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1.本机关不掌握相关政府信息</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23</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2.没有现成信息需要另行制作</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3.补正后申请内容仍不明确</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（五）不予</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处理</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1.信访举报投诉类申请</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2.重复申请</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3.要求提供公开出版物</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4.无正当理由大量反复申请</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5.要求行政机关确认或重新出具已获取信息</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（六）其他处理</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（七）总计</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31</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四、结转下年度继续办理</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13</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13</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四、政府信息公开行政复议、行政诉讼情况</w:t>
      </w:r>
    </w:p>
    <w:tbl>
      <w:tblPr>
        <w:tblStyle w:val="8"/>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行政复议</w:t>
            </w:r>
          </w:p>
        </w:tc>
        <w:tc>
          <w:tcPr>
            <w:tcW w:w="5997" w:type="dxa"/>
            <w:gridSpan w:val="10"/>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果</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维</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持</w:t>
            </w:r>
          </w:p>
        </w:tc>
        <w:tc>
          <w:tcPr>
            <w:tcW w:w="541"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58"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 计</w:t>
            </w:r>
          </w:p>
        </w:tc>
        <w:tc>
          <w:tcPr>
            <w:tcW w:w="2970" w:type="dxa"/>
            <w:gridSpan w:val="5"/>
            <w:tcBorders>
              <w:top w:val="single" w:color="auto" w:sz="4" w:space="0"/>
            </w:tcBorders>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未经复议直接起诉</w:t>
            </w:r>
          </w:p>
        </w:tc>
        <w:tc>
          <w:tcPr>
            <w:tcW w:w="3027" w:type="dxa"/>
            <w:gridSpan w:val="5"/>
            <w:tcBorders>
              <w:top w:val="single" w:color="auto" w:sz="4" w:space="0"/>
            </w:tcBorders>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541"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0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0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58"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5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结果维持</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结果维持</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w:t>
            </w:r>
          </w:p>
        </w:tc>
        <w:tc>
          <w:tcPr>
            <w:tcW w:w="54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604"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4"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58"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9</w:t>
            </w:r>
          </w:p>
        </w:tc>
        <w:tc>
          <w:tcPr>
            <w:tcW w:w="550"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r>
    </w:tbl>
    <w:p>
      <w:pPr>
        <w:keepNext w:val="0"/>
        <w:keepLines w:val="0"/>
        <w:pageBreakBefore w:val="0"/>
        <w:widowControl/>
        <w:kinsoku/>
        <w:wordWrap/>
        <w:overflowPunct/>
        <w:topLinePunct w:val="0"/>
        <w:autoSpaceDE/>
        <w:autoSpaceDN/>
        <w:bidi w:val="0"/>
        <w:adjustRightInd/>
        <w:snapToGrid/>
        <w:spacing w:line="560" w:lineRule="exact"/>
        <w:jc w:val="left"/>
        <w:rPr>
          <w:rFonts w:ascii="黑体" w:hAnsi="黑体" w:eastAsia="黑体" w:cs="宋体"/>
          <w:spacing w:val="8"/>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left"/>
        <w:rPr>
          <w:rFonts w:hint="eastAsia" w:ascii="仿宋_GB2312" w:hAnsi="宋体" w:eastAsia="仿宋_GB2312" w:cs="宋体"/>
          <w:b/>
          <w:bCs/>
          <w:spacing w:val="8"/>
          <w:kern w:val="0"/>
          <w:sz w:val="32"/>
          <w:szCs w:val="32"/>
          <w:highlight w:val="none"/>
        </w:rPr>
      </w:pPr>
      <w:r>
        <w:rPr>
          <w:rFonts w:hint="eastAsia" w:ascii="仿宋_GB2312" w:hAnsi="宋体" w:eastAsia="仿宋_GB2312" w:cs="宋体"/>
          <w:b/>
          <w:bCs/>
          <w:spacing w:val="8"/>
          <w:kern w:val="0"/>
          <w:sz w:val="32"/>
          <w:szCs w:val="32"/>
          <w:highlight w:val="none"/>
          <w:lang w:eastAsia="zh-CN"/>
        </w:rPr>
        <w:t>五、</w:t>
      </w:r>
      <w:r>
        <w:rPr>
          <w:rFonts w:hint="eastAsia" w:ascii="仿宋_GB2312" w:hAnsi="宋体" w:eastAsia="仿宋_GB2312" w:cs="宋体"/>
          <w:b/>
          <w:bCs/>
          <w:spacing w:val="8"/>
          <w:kern w:val="0"/>
          <w:sz w:val="32"/>
          <w:szCs w:val="32"/>
          <w:highlight w:val="none"/>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left"/>
        <w:rPr>
          <w:rFonts w:hint="eastAsia" w:ascii="仿宋_GB2312" w:hAnsi="宋体" w:eastAsia="仿宋_GB2312" w:cs="宋体"/>
          <w:b/>
          <w:bCs/>
          <w:spacing w:val="8"/>
          <w:kern w:val="0"/>
          <w:sz w:val="32"/>
          <w:szCs w:val="32"/>
          <w:highlight w:val="none"/>
          <w:lang w:eastAsia="zh-CN"/>
        </w:rPr>
      </w:pPr>
      <w:r>
        <w:rPr>
          <w:rFonts w:hint="eastAsia" w:ascii="仿宋_GB2312" w:hAnsi="宋体" w:eastAsia="仿宋_GB2312" w:cs="宋体"/>
          <w:b/>
          <w:bCs/>
          <w:spacing w:val="8"/>
          <w:kern w:val="0"/>
          <w:sz w:val="32"/>
          <w:szCs w:val="32"/>
          <w:highlight w:val="none"/>
        </w:rPr>
        <w:t>（</w:t>
      </w:r>
      <w:r>
        <w:rPr>
          <w:rFonts w:hint="eastAsia" w:ascii="仿宋_GB2312" w:hAnsi="宋体" w:eastAsia="仿宋_GB2312" w:cs="宋体"/>
          <w:b/>
          <w:bCs/>
          <w:spacing w:val="8"/>
          <w:kern w:val="0"/>
          <w:sz w:val="32"/>
          <w:szCs w:val="32"/>
          <w:highlight w:val="none"/>
          <w:lang w:eastAsia="zh-CN"/>
        </w:rPr>
        <w:t>一）存在的问题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highlight w:val="none"/>
          <w:lang w:eastAsia="zh-CN"/>
        </w:rPr>
      </w:pP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年，本单位信息公开工作整体水平有较大的提升，但与市、区要求和公众的期许相比还有一定的差距，主要表现在：一是政府信息主动公开的范围和内容仍需深化，重点领域的政府信息虽已按要求主动公开，但公开的范围仍然不够广。二是对于新媒体渠道的应用还不是很充分，微信公众号</w:t>
      </w:r>
      <w:r>
        <w:rPr>
          <w:rFonts w:hint="eastAsia" w:ascii="仿宋_GB2312" w:eastAsia="仿宋_GB2312"/>
          <w:sz w:val="32"/>
          <w:szCs w:val="32"/>
          <w:highlight w:val="none"/>
          <w:lang w:val="en-US" w:eastAsia="zh-CN"/>
        </w:rPr>
        <w:t>原创内容较少</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left"/>
        <w:rPr>
          <w:rFonts w:hint="eastAsia" w:ascii="仿宋_GB2312" w:hAnsi="宋体" w:eastAsia="仿宋_GB2312" w:cs="宋体"/>
          <w:b/>
          <w:bCs/>
          <w:spacing w:val="8"/>
          <w:kern w:val="0"/>
          <w:sz w:val="32"/>
          <w:szCs w:val="32"/>
          <w:highlight w:val="none"/>
          <w:lang w:eastAsia="zh-CN"/>
        </w:rPr>
      </w:pPr>
      <w:r>
        <w:rPr>
          <w:rFonts w:hint="eastAsia" w:ascii="仿宋_GB2312" w:hAnsi="宋体" w:eastAsia="仿宋_GB2312" w:cs="宋体"/>
          <w:b/>
          <w:bCs/>
          <w:spacing w:val="8"/>
          <w:kern w:val="0"/>
          <w:sz w:val="32"/>
          <w:szCs w:val="32"/>
          <w:highlight w:val="none"/>
          <w:lang w:eastAsia="zh-CN"/>
        </w:rPr>
        <w:t>（二）改进措施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一是根据相关要求，充分拓展信息公开内容，丰富公开形式，力求使公开的信息更贴近公众、方便群众。深入研究和落实国家、市、区政务公开实施意见和工作要点，认真做好涉及人民群众切身利益和社会普遍关注的重点领域信息公开，以政务公开网站第三方评估为契机，对照薄弱环节，积极整改提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二是</w:t>
      </w:r>
      <w:r>
        <w:rPr>
          <w:rFonts w:hint="eastAsia" w:ascii="仿宋_GB2312" w:eastAsia="仿宋_GB2312" w:cs="仿宋_GB2312"/>
          <w:sz w:val="32"/>
          <w:szCs w:val="32"/>
          <w:highlight w:val="none"/>
        </w:rPr>
        <w:t>加大对新媒体渠道的利用，</w:t>
      </w:r>
      <w:r>
        <w:rPr>
          <w:rFonts w:hint="eastAsia" w:ascii="仿宋_GB2312" w:eastAsia="仿宋_GB2312" w:cs="仿宋_GB2312"/>
          <w:sz w:val="32"/>
          <w:szCs w:val="32"/>
          <w:highlight w:val="none"/>
          <w:lang w:eastAsia="zh-CN"/>
        </w:rPr>
        <w:t>充分挖掘日常工作中可向群众公开的点，严格按照“公开是常态、不公开是例外”的原则开展工作，增加主动公开的力度</w:t>
      </w:r>
      <w:r>
        <w:rPr>
          <w:rFonts w:hint="eastAsia" w:ascii="仿宋_GB2312" w:hAnsi="Calibri" w:eastAsia="仿宋_GB2312" w:cs="Times New Roman"/>
          <w:sz w:val="32"/>
          <w:szCs w:val="32"/>
          <w:highlight w:val="none"/>
          <w:lang w:val="en-US" w:eastAsia="zh-CN"/>
        </w:rPr>
        <w:t>。</w:t>
      </w:r>
    </w:p>
    <w:p>
      <w:pPr>
        <w:pStyle w:val="2"/>
        <w:numPr>
          <w:ilvl w:val="-1"/>
          <w:numId w:val="0"/>
        </w:numPr>
        <w:ind w:left="0" w:leftChars="0" w:firstLine="672" w:firstLineChars="200"/>
        <w:rPr>
          <w:rFonts w:hint="eastAsia" w:ascii="黑体" w:hAnsi="黑体" w:eastAsia="黑体" w:cs="宋体"/>
          <w:spacing w:val="8"/>
          <w:kern w:val="0"/>
          <w:sz w:val="32"/>
          <w:szCs w:val="32"/>
          <w:highlight w:val="none"/>
          <w:lang w:val="en-US" w:eastAsia="zh-CN" w:bidi="ar-SA"/>
        </w:rPr>
      </w:pPr>
      <w:r>
        <w:rPr>
          <w:rFonts w:hint="eastAsia" w:ascii="黑体" w:hAnsi="黑体" w:eastAsia="黑体" w:cs="宋体"/>
          <w:spacing w:val="8"/>
          <w:kern w:val="0"/>
          <w:sz w:val="32"/>
          <w:szCs w:val="32"/>
          <w:highlight w:val="none"/>
          <w:lang w:val="en-US" w:eastAsia="zh-CN" w:bidi="ar-SA"/>
        </w:rPr>
        <w:t>六、其他需要报告的事项</w:t>
      </w:r>
    </w:p>
    <w:tbl>
      <w:tblPr>
        <w:tblStyle w:val="8"/>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98"/>
        <w:gridCol w:w="2565"/>
        <w:gridCol w:w="234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8734" w:type="dxa"/>
            <w:gridSpan w:val="4"/>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eastAsia="zh-CN"/>
              </w:rPr>
            </w:pPr>
            <w:r>
              <w:rPr>
                <w:rFonts w:hint="eastAsia" w:eastAsia="宋体"/>
                <w:highlight w:val="none"/>
                <w:lang w:eastAsia="zh-CN"/>
              </w:rPr>
              <w:t>年度依申请公开收费情况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1698" w:type="dxa"/>
            <w:tcBorders>
              <w:top w:val="single" w:color="auto" w:sz="4" w:space="0"/>
              <w:bottom w:val="single" w:color="auto" w:sz="4" w:space="0"/>
            </w:tcBorders>
            <w:shd w:val="clear" w:color="auto" w:fill="BDD6EE" w:themeFill="accent1" w:themeFillTint="6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事项名称</w:t>
            </w:r>
          </w:p>
        </w:tc>
        <w:tc>
          <w:tcPr>
            <w:tcW w:w="2565" w:type="dxa"/>
            <w:tcBorders>
              <w:top w:val="single" w:color="auto" w:sz="4" w:space="0"/>
              <w:bottom w:val="single" w:color="auto" w:sz="4" w:space="0"/>
            </w:tcBorders>
            <w:shd w:val="clear" w:color="auto" w:fill="BDD6EE" w:themeFill="accent1" w:themeFillTint="6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涉及收费的申请件数（件）</w:t>
            </w:r>
          </w:p>
        </w:tc>
        <w:tc>
          <w:tcPr>
            <w:tcW w:w="2340" w:type="dxa"/>
            <w:tcBorders>
              <w:top w:val="single" w:color="auto" w:sz="4" w:space="0"/>
              <w:bottom w:val="single" w:color="auto" w:sz="4" w:space="0"/>
            </w:tcBorders>
            <w:shd w:val="clear" w:color="auto" w:fill="BDD6EE" w:themeFill="accent1" w:themeFillTint="6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发出缴费通知金额（元）</w:t>
            </w:r>
          </w:p>
        </w:tc>
        <w:tc>
          <w:tcPr>
            <w:tcW w:w="2131" w:type="dxa"/>
            <w:tcBorders>
              <w:top w:val="single" w:color="auto" w:sz="4" w:space="0"/>
              <w:bottom w:val="single" w:color="auto" w:sz="4" w:space="0"/>
            </w:tcBorders>
            <w:shd w:val="clear" w:color="auto" w:fill="BDD6EE" w:themeFill="accent1" w:themeFillTint="6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收到缴费金额（元）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1698" w:type="dxa"/>
            <w:tcBorders>
              <w:top w:val="single" w:color="auto" w:sz="4" w:space="0"/>
              <w:bottom w:val="single" w:color="auto" w:sz="4" w:space="0"/>
            </w:tcBorders>
            <w:shd w:val="clear" w:color="auto" w:fill="BDD6EE" w:themeFill="accent1" w:themeFillTint="6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eastAsia="zh-CN"/>
              </w:rPr>
            </w:pPr>
            <w:r>
              <w:rPr>
                <w:rFonts w:hint="eastAsia" w:eastAsia="宋体"/>
                <w:highlight w:val="none"/>
                <w:lang w:eastAsia="zh-CN"/>
              </w:rPr>
              <w:t>本部门工作情况</w:t>
            </w:r>
          </w:p>
        </w:tc>
        <w:tc>
          <w:tcPr>
            <w:tcW w:w="2565" w:type="dxa"/>
            <w:tcBorders>
              <w:top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ascii="Times New Roman" w:eastAsia="宋体"/>
                <w:highlight w:val="none"/>
                <w:lang w:val="en-US" w:eastAsia="zh-CN"/>
              </w:rPr>
              <w:t>0</w:t>
            </w:r>
          </w:p>
        </w:tc>
        <w:tc>
          <w:tcPr>
            <w:tcW w:w="2340" w:type="dxa"/>
            <w:tcBorders>
              <w:top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ascii="Times New Roman" w:eastAsia="宋体"/>
                <w:highlight w:val="none"/>
                <w:lang w:val="en-US" w:eastAsia="zh-CN"/>
              </w:rPr>
              <w:t>0</w:t>
            </w:r>
          </w:p>
        </w:tc>
        <w:tc>
          <w:tcPr>
            <w:tcW w:w="2131" w:type="dxa"/>
            <w:tcBorders>
              <w:top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ascii="Times New Roman" w:eastAsia="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1698" w:type="dxa"/>
            <w:tcBorders>
              <w:top w:val="single" w:color="auto" w:sz="4" w:space="0"/>
            </w:tcBorders>
            <w:shd w:val="clear" w:color="auto" w:fill="BDD6EE" w:themeFill="accent1" w:themeFillTint="6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lang w:eastAsia="zh-CN"/>
              </w:rPr>
            </w:pPr>
            <w:r>
              <w:rPr>
                <w:rFonts w:hint="eastAsia" w:eastAsia="宋体"/>
                <w:highlight w:val="none"/>
                <w:lang w:eastAsia="zh-CN"/>
              </w:rPr>
              <w:t>汇总</w:t>
            </w:r>
          </w:p>
        </w:tc>
        <w:tc>
          <w:tcPr>
            <w:tcW w:w="2565" w:type="dxa"/>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ascii="Times New Roman" w:eastAsia="宋体"/>
                <w:highlight w:val="none"/>
                <w:lang w:val="en-US" w:eastAsia="zh-CN"/>
              </w:rPr>
              <w:t>0</w:t>
            </w:r>
          </w:p>
        </w:tc>
        <w:tc>
          <w:tcPr>
            <w:tcW w:w="2340" w:type="dxa"/>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ascii="Times New Roman" w:eastAsia="宋体"/>
                <w:highlight w:val="none"/>
                <w:lang w:val="en-US" w:eastAsia="zh-CN"/>
              </w:rPr>
              <w:t>0</w:t>
            </w:r>
          </w:p>
        </w:tc>
        <w:tc>
          <w:tcPr>
            <w:tcW w:w="2131" w:type="dxa"/>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ascii="Times New Roman" w:eastAsia="宋体"/>
                <w:highlight w:val="none"/>
                <w:lang w:val="en-US" w:eastAsia="zh-CN"/>
              </w:rPr>
              <w:t>0</w:t>
            </w:r>
          </w:p>
        </w:tc>
      </w:tr>
    </w:tbl>
    <w:p>
      <w:pPr>
        <w:pStyle w:val="2"/>
        <w:numPr>
          <w:ilvl w:val="0"/>
          <w:numId w:val="0"/>
        </w:numPr>
        <w:ind w:leftChars="400"/>
        <w:rPr>
          <w:rFonts w:hint="eastAsia" w:ascii="黑体" w:hAnsi="黑体" w:eastAsia="黑体" w:cs="宋体"/>
          <w:spacing w:val="8"/>
          <w:kern w:val="0"/>
          <w:sz w:val="32"/>
          <w:szCs w:val="32"/>
          <w:highlight w:val="none"/>
          <w:lang w:val="en-US" w:eastAsia="zh-CN" w:bidi="ar-SA"/>
        </w:rPr>
      </w:pPr>
    </w:p>
    <w:p>
      <w:pPr>
        <w:rPr>
          <w:highlight w:val="none"/>
        </w:rPr>
      </w:pPr>
      <w:bookmarkStart w:id="0" w:name="_GoBack"/>
      <w:bookmarkEnd w:id="0"/>
    </w:p>
    <w:p>
      <w:pPr>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D4A7"/>
    <w:multiLevelType w:val="singleLevel"/>
    <w:tmpl w:val="3BFBD4A7"/>
    <w:lvl w:ilvl="0" w:tentative="0">
      <w:start w:val="2"/>
      <w:numFmt w:val="chineseCounting"/>
      <w:suff w:val="nothing"/>
      <w:lvlText w:val="%1、"/>
      <w:lvlJc w:val="left"/>
      <w:rPr>
        <w:rFonts w:hint="eastAsia"/>
      </w:rPr>
    </w:lvl>
  </w:abstractNum>
  <w:abstractNum w:abstractNumId="1">
    <w:nsid w:val="677D04A8"/>
    <w:multiLevelType w:val="singleLevel"/>
    <w:tmpl w:val="677D04A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53F1"/>
    <w:rsid w:val="09B949C4"/>
    <w:rsid w:val="19D077FE"/>
    <w:rsid w:val="23966966"/>
    <w:rsid w:val="394853F1"/>
    <w:rsid w:val="3CD56880"/>
    <w:rsid w:val="44CA64DB"/>
    <w:rsid w:val="4AC01759"/>
    <w:rsid w:val="4EAB4919"/>
    <w:rsid w:val="66947DEB"/>
    <w:rsid w:val="68C97BA4"/>
    <w:rsid w:val="76F67658"/>
    <w:rsid w:val="77343379"/>
    <w:rsid w:val="7F9E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2021-12-27T09:36:00Z</dcterms:created>
  <dc:creator>NTKO</dc:creator>
  <cp:lastModifiedBy>NTKO</cp:lastModifiedBy>
  <dcterms:modified xsi:type="dcterms:W3CDTF">2022-01-05T06:50:18Z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