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p>
    <w:p>
      <w:pPr>
        <w:jc w:val="center"/>
        <w:rPr>
          <w:rFonts w:ascii="黑体" w:hAnsi="黑体" w:eastAsia="黑体"/>
          <w:sz w:val="44"/>
          <w:szCs w:val="44"/>
        </w:rPr>
      </w:pPr>
      <w:r>
        <w:rPr>
          <w:rFonts w:hint="eastAsia" w:ascii="黑体" w:hAnsi="黑体" w:eastAsia="黑体"/>
          <w:sz w:val="44"/>
          <w:szCs w:val="44"/>
        </w:rPr>
        <w:t>区城市管理委2021年行政执法统计年报</w:t>
      </w:r>
    </w:p>
    <w:p>
      <w:pPr>
        <w:spacing w:line="520" w:lineRule="exact"/>
        <w:ind w:firstLine="600" w:firstLineChars="200"/>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以来，我委行政执法工作在区委、区政府和区司法局的指导和支持下，按照区新冠肺炎疫情防控整体部署，严格落实疫情防控责任，立足首都城市战略定位，围绕年初制定的行政执法工作目标和要点，认真履职，严格执法，加强城市管理行政执法工作力度，认真探索行政执法工作的新思路，努力创新工作机制，不断优化执法环境，拓宽行政执法领域，切实提高了行政执法的针对性和实效性，行政执法工作实现了新的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现将2021年行政执法工作情况汇报如下：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w:t>
      </w:r>
      <w:r>
        <w:rPr>
          <w:rFonts w:hint="eastAsia" w:ascii="仿宋" w:hAnsi="仿宋" w:eastAsia="仿宋"/>
          <w:b/>
          <w:sz w:val="32"/>
          <w:szCs w:val="32"/>
        </w:rPr>
        <w:t>执法主体名称和数量情况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我委对外执法主体名称为西城区城市管理委员会（西城区水务局、西城区交通委）。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w:t>
      </w:r>
      <w:r>
        <w:rPr>
          <w:rFonts w:hint="eastAsia" w:ascii="仿宋" w:hAnsi="仿宋" w:eastAsia="仿宋"/>
          <w:b/>
          <w:sz w:val="32"/>
          <w:szCs w:val="32"/>
          <w:lang w:eastAsia="zh-CN"/>
        </w:rPr>
        <w:t>、</w:t>
      </w:r>
      <w:r>
        <w:rPr>
          <w:rFonts w:hint="eastAsia" w:ascii="仿宋" w:hAnsi="仿宋" w:eastAsia="仿宋"/>
          <w:b/>
          <w:sz w:val="32"/>
          <w:szCs w:val="32"/>
        </w:rPr>
        <w:t>执法岗位设置及执法人员在岗情况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我委共设置城市管理执法业务承办岗4个，水务执法岗2个，执法监督岗位1个。执法人员在岗率100%。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w:t>
      </w:r>
      <w:r>
        <w:rPr>
          <w:rFonts w:hint="eastAsia" w:ascii="仿宋" w:hAnsi="仿宋" w:eastAsia="仿宋"/>
          <w:b/>
          <w:sz w:val="32"/>
          <w:szCs w:val="32"/>
          <w:lang w:eastAsia="zh-CN"/>
        </w:rPr>
        <w:t>、</w:t>
      </w:r>
      <w:r>
        <w:rPr>
          <w:rFonts w:hint="eastAsia" w:ascii="仿宋" w:hAnsi="仿宋" w:eastAsia="仿宋"/>
          <w:b/>
          <w:sz w:val="32"/>
          <w:szCs w:val="32"/>
        </w:rPr>
        <w:t>执法力量投入情况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2021年，我委开展了对城市道路养护、维修工程的质量进行监督检查、对水影响评价（水土保持）工作情况进行监管、对供水单位、用水单位和用水户节约用水情况进行监管、对户外广告的监督管理、对违反规定设置的户外广告设施进行纠正或者撤销、进入燃气燃烧器具安装、维修企业进行检查，同时开展了垃圾渣土运输、垃圾分类、路侧停车等执法检查专项行动，并协调相关部门、街道、社区力量，针对我区的城市管理领域实施多次检查行动，确保了我区城市管理事业发展有序、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四</w:t>
      </w:r>
      <w:r>
        <w:rPr>
          <w:rFonts w:hint="eastAsia" w:ascii="仿宋" w:hAnsi="仿宋" w:eastAsia="仿宋"/>
          <w:b/>
          <w:sz w:val="32"/>
          <w:szCs w:val="32"/>
          <w:lang w:eastAsia="zh-CN"/>
        </w:rPr>
        <w:t>、</w:t>
      </w:r>
      <w:r>
        <w:rPr>
          <w:rFonts w:hint="eastAsia" w:ascii="仿宋" w:hAnsi="仿宋" w:eastAsia="仿宋"/>
          <w:b/>
          <w:sz w:val="32"/>
          <w:szCs w:val="32"/>
        </w:rPr>
        <w:t>政务服务事项的办理情况。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2021年我委办理政务服务事项如下:</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01、公共场所设置标语、宣传品批准（行政许可）：</w:t>
      </w:r>
      <w:r>
        <w:rPr>
          <w:rFonts w:hint="eastAsia" w:ascii="仿宋" w:hAnsi="仿宋" w:eastAsia="仿宋"/>
          <w:sz w:val="32"/>
          <w:szCs w:val="32"/>
          <w:lang w:val="en-US" w:eastAsia="zh-CN"/>
        </w:rPr>
        <w:t>35</w:t>
      </w:r>
      <w:r>
        <w:rPr>
          <w:rFonts w:hint="eastAsia" w:ascii="仿宋" w:hAnsi="仿宋" w:eastAsia="仿宋"/>
          <w:sz w:val="32"/>
          <w:szCs w:val="32"/>
        </w:rPr>
        <w:t>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02、临时占用城市道路许可事项（行政许可）：</w:t>
      </w:r>
      <w:r>
        <w:rPr>
          <w:rFonts w:hint="eastAsia" w:ascii="仿宋" w:hAnsi="仿宋" w:eastAsia="仿宋"/>
          <w:sz w:val="32"/>
          <w:szCs w:val="32"/>
          <w:lang w:val="en-US" w:eastAsia="zh-CN"/>
        </w:rPr>
        <w:t>29</w:t>
      </w:r>
      <w:r>
        <w:rPr>
          <w:rFonts w:hint="eastAsia" w:ascii="仿宋" w:hAnsi="仿宋" w:eastAsia="仿宋"/>
          <w:sz w:val="32"/>
          <w:szCs w:val="32"/>
        </w:rPr>
        <w:t>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03、临时挖掘城市道路许可事项（行政许可）：</w:t>
      </w:r>
      <w:r>
        <w:rPr>
          <w:rFonts w:hint="eastAsia" w:ascii="仿宋" w:hAnsi="仿宋" w:eastAsia="仿宋"/>
          <w:sz w:val="32"/>
          <w:szCs w:val="32"/>
          <w:lang w:val="en-US" w:eastAsia="zh-CN"/>
        </w:rPr>
        <w:t>47</w:t>
      </w:r>
      <w:r>
        <w:rPr>
          <w:rFonts w:hint="eastAsia" w:ascii="仿宋" w:hAnsi="仿宋" w:eastAsia="仿宋"/>
          <w:sz w:val="32"/>
          <w:szCs w:val="32"/>
        </w:rPr>
        <w:t>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04、燃气经营许可证核发（行政许可）：0件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05、建筑垃圾、土方、砂石运输车辆准运许可（行政许可）：</w:t>
      </w:r>
      <w:r>
        <w:rPr>
          <w:rFonts w:hint="eastAsia" w:ascii="仿宋" w:hAnsi="仿宋" w:eastAsia="仿宋"/>
          <w:sz w:val="32"/>
          <w:szCs w:val="32"/>
          <w:lang w:val="en-US" w:eastAsia="zh-CN"/>
        </w:rPr>
        <w:t>7</w:t>
      </w:r>
      <w:r>
        <w:rPr>
          <w:rFonts w:hint="eastAsia" w:ascii="仿宋" w:hAnsi="仿宋" w:eastAsia="仿宋"/>
          <w:sz w:val="32"/>
          <w:szCs w:val="32"/>
        </w:rPr>
        <w:t>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06、夜景照明方案审核行政许可（行政许可）：4件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07、普通类景观照明建设方案审核（行政许可）：0件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08、西城区核定用水计划指标审批（中小微企业简易审批）（行政许可）：3</w:t>
      </w:r>
      <w:r>
        <w:rPr>
          <w:rFonts w:hint="eastAsia" w:ascii="仿宋" w:hAnsi="仿宋" w:eastAsia="仿宋"/>
          <w:sz w:val="32"/>
          <w:szCs w:val="32"/>
          <w:lang w:val="en-US" w:eastAsia="zh-CN"/>
        </w:rPr>
        <w:t>12</w:t>
      </w:r>
      <w:r>
        <w:rPr>
          <w:rFonts w:hint="eastAsia" w:ascii="仿宋" w:hAnsi="仿宋" w:eastAsia="仿宋"/>
          <w:sz w:val="32"/>
          <w:szCs w:val="32"/>
        </w:rPr>
        <w:t>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09、施工性临时用水行政许可（行政许可）：</w:t>
      </w:r>
      <w:r>
        <w:rPr>
          <w:rFonts w:hint="eastAsia" w:ascii="仿宋" w:hAnsi="仿宋" w:eastAsia="仿宋"/>
          <w:sz w:val="32"/>
          <w:szCs w:val="32"/>
          <w:lang w:val="en-US" w:eastAsia="zh-CN"/>
        </w:rPr>
        <w:t>0</w:t>
      </w:r>
      <w:r>
        <w:rPr>
          <w:rFonts w:hint="eastAsia" w:ascii="仿宋" w:hAnsi="仿宋" w:eastAsia="仿宋"/>
          <w:sz w:val="32"/>
          <w:szCs w:val="32"/>
        </w:rPr>
        <w:t>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10、小客车指标配置（其他行政权力）：10000件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11、设置建筑垃圾渣土消纳备案事项（其他行政权力）：2214件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12、对区级供热单位予以补贴（其他行政权力）：329件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13、对供热单位进行备案（其他行政权力）：55件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14、经营性停车场备案（其他行政权力）：258件</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15、牌匾标识设置管理规范（公共服务）：226件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总计:13</w:t>
      </w:r>
      <w:r>
        <w:rPr>
          <w:rFonts w:hint="eastAsia" w:ascii="仿宋" w:hAnsi="仿宋" w:eastAsia="仿宋"/>
          <w:sz w:val="32"/>
          <w:szCs w:val="32"/>
          <w:lang w:val="en-US" w:eastAsia="zh-CN"/>
        </w:rPr>
        <w:t>516</w:t>
      </w:r>
      <w:r>
        <w:rPr>
          <w:rFonts w:hint="eastAsia" w:ascii="仿宋" w:hAnsi="仿宋" w:eastAsia="仿宋"/>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五</w:t>
      </w:r>
      <w:r>
        <w:rPr>
          <w:rFonts w:hint="eastAsia" w:ascii="仿宋" w:hAnsi="仿宋" w:eastAsia="仿宋"/>
          <w:b/>
          <w:sz w:val="32"/>
          <w:szCs w:val="32"/>
          <w:lang w:eastAsia="zh-CN"/>
        </w:rPr>
        <w:t>、</w:t>
      </w:r>
      <w:r>
        <w:rPr>
          <w:rFonts w:hint="eastAsia" w:ascii="仿宋" w:hAnsi="仿宋" w:eastAsia="仿宋"/>
          <w:b/>
          <w:sz w:val="32"/>
          <w:szCs w:val="32"/>
        </w:rPr>
        <w:t>执法检查计划执行情况。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2021年，我委结合市、区重点执法工作，制定年度执法检查计划，全年共进行行政执法检查1166件（其中委机关548件、水务局618件），人均执法检查233.5件。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六</w:t>
      </w:r>
      <w:r>
        <w:rPr>
          <w:rFonts w:hint="eastAsia" w:ascii="仿宋" w:hAnsi="仿宋" w:eastAsia="仿宋"/>
          <w:b/>
          <w:sz w:val="32"/>
          <w:szCs w:val="32"/>
          <w:lang w:eastAsia="zh-CN"/>
        </w:rPr>
        <w:t>、</w:t>
      </w:r>
      <w:r>
        <w:rPr>
          <w:rFonts w:hint="eastAsia" w:ascii="仿宋" w:hAnsi="仿宋" w:eastAsia="仿宋"/>
          <w:b/>
          <w:sz w:val="32"/>
          <w:szCs w:val="32"/>
        </w:rPr>
        <w:t>行政处罚、行政强制等案件办理情况。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2021年区我委水务局重点针对区计划用水管理单位及洗车站点违法违规行为，实现洗车站点检查全覆盖；立案处罚</w:t>
      </w:r>
      <w:r>
        <w:rPr>
          <w:rFonts w:hint="eastAsia" w:ascii="仿宋" w:hAnsi="仿宋" w:eastAsia="仿宋"/>
          <w:sz w:val="32"/>
          <w:szCs w:val="32"/>
          <w:lang w:val="en-US" w:eastAsia="zh-CN"/>
        </w:rPr>
        <w:t>6</w:t>
      </w:r>
      <w:r>
        <w:rPr>
          <w:rFonts w:hint="eastAsia" w:ascii="仿宋" w:hAnsi="仿宋" w:eastAsia="仿宋"/>
          <w:sz w:val="32"/>
          <w:szCs w:val="32"/>
        </w:rPr>
        <w:t>件，共处罚金3</w:t>
      </w:r>
      <w:r>
        <w:rPr>
          <w:rFonts w:hint="eastAsia" w:ascii="仿宋" w:hAnsi="仿宋" w:eastAsia="仿宋"/>
          <w:sz w:val="32"/>
          <w:szCs w:val="32"/>
          <w:lang w:val="en-US" w:eastAsia="zh-CN"/>
        </w:rPr>
        <w:t>1000</w:t>
      </w:r>
      <w:r>
        <w:rPr>
          <w:rFonts w:hint="eastAsia" w:ascii="仿宋" w:hAnsi="仿宋" w:eastAsia="仿宋"/>
          <w:sz w:val="32"/>
          <w:szCs w:val="32"/>
        </w:rPr>
        <w:t>元。在执法过程中，我委执法人员均做到持证上岗、亮证执法，对处理处罚履行法定告知程序；无行政不作为和乱作为现象，无行政复议、行政诉讼事项发生。二是全面推行行政执法公示制度，按照“谁执法谁公示”的原则，通过强化事前公开、规范事中公示、加强事后公开等方式，借助西城政务网站、大厅公示栏、服务窗口等载体，依法及时向社会公开行政执法的基本信息和结果信息。三是全面推行执法全过程记录制度，通过完善文字记录、规范音像记录、严格记录归档、发挥记录作用等，对行政执法的启动、调查取证、审核决定、送达执行等全部过程进行记录，全面系统归档保存，做到执法全过程留痕和可回溯管理。四是预防争议确保零纠错零败诉。着力推进行政执法严格规范公正文明，不断健全执法制度，完善执法秩序，创新执法方式，强化执法监督，全面提高综合执法效能，确保依法履行法治职责，切实维护行政执法相对人的合法权益，为推进法治政府建设及打造良好的营商环境奠定坚实基础。五是针对下放职权认真培训，由水政综合执法总队、排水集团一分公司、区水务局副局长进行线上授课，组织各街道办事处完成12学时的水务职权下放专项执法培训工作。组织街道办事处落实了行政执法公示制度、执法全过程记录制度、重大执法决定法制审核制度，规范实施行政处罚量基准制度，指导街道城管队完成水务行政处罚。六是强化队伍建设，坚持强化指导与岗位练兵相结合，努力提高行政执法的精确性。全面提高执法人员素质，为切实提高执法人员的业务素质和执法水平，我们始终把相关法律法规的学习和法律培训作为一项重要工作来抓，在本年度先后集中组织学习了《行政处罚法》、《行政许可法》、《行政复议法》、《行政赔偿法》、《民法典》、《北京市节约用水办法》等法律、法规。在今年行政执法资格考试中，共11人参加，10人通过，为明年执法工作打下了坚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七</w:t>
      </w:r>
      <w:r>
        <w:rPr>
          <w:rFonts w:hint="eastAsia" w:ascii="仿宋" w:hAnsi="仿宋" w:eastAsia="仿宋"/>
          <w:b/>
          <w:sz w:val="32"/>
          <w:szCs w:val="32"/>
          <w:lang w:eastAsia="zh-CN"/>
        </w:rPr>
        <w:t>、</w:t>
      </w:r>
      <w:r>
        <w:rPr>
          <w:rFonts w:hint="eastAsia" w:ascii="仿宋" w:hAnsi="仿宋" w:eastAsia="仿宋"/>
          <w:b/>
          <w:sz w:val="32"/>
          <w:szCs w:val="32"/>
        </w:rPr>
        <w:t>投诉、举报案件的受理和分类办理情况。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2021年，我委围绕解决群众“急难愁盼”问题，深化主动治理、未诉先办，加强分析研判，坚持日汇总、周调度、月分析，未诉先办做好周期性诉求研判预警和应对处置工作。共受理群众诉求4384件，整体解决率83.68%、满意率94.02%。</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0" w:firstLineChars="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热线诉求基本情况</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0" w:firstLineChars="0"/>
        <w:textAlignment w:val="auto"/>
        <w:rPr>
          <w:rFonts w:ascii="仿宋_GB2312" w:hAnsi="仿宋_GB2312" w:eastAsia="仿宋_GB2312" w:cs="仿宋_GB2312"/>
          <w:bCs/>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诉求类型占比较为集中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2021年，我委受理的群众来电诉求主要集中在交通管理、市政工程、街景照明、环境卫生、供热采暖等方面。</w:t>
      </w:r>
    </w:p>
    <w:p>
      <w:pPr>
        <w:pStyle w:val="2"/>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交通管理类诉求量为3124件，占总受理量的71.25%，为我委受理的主要诉求。其中路侧停车资格740件，增设停车位698件，停车场管理687件，停车收费574件，催缴处罚325件，共享单车100件。</w:t>
      </w:r>
    </w:p>
    <w:p>
      <w:pPr>
        <w:pStyle w:val="2"/>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市政工程类554件，占总受理量的12.64%。其中道路维护233件，架空线入地216件，平安大街改造105件。</w:t>
      </w:r>
    </w:p>
    <w:p>
      <w:pPr>
        <w:pStyle w:val="2"/>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街景照明类216件，占总受理量的4.93%。其中路灯148件，户外广告68件。</w:t>
      </w:r>
    </w:p>
    <w:p>
      <w:pPr>
        <w:pStyle w:val="2"/>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环境卫生类201件，占总受理量的4.58%。其中公厕管理141件，垃圾站60件。</w:t>
      </w:r>
    </w:p>
    <w:p>
      <w:pPr>
        <w:pStyle w:val="2"/>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供暖供热181件，占总受理量的4.13%。</w:t>
      </w:r>
    </w:p>
    <w:p>
      <w:pPr>
        <w:pStyle w:val="2"/>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ascii="仿宋" w:hAnsi="仿宋" w:eastAsia="仿宋" w:cs="仿宋"/>
          <w:sz w:val="30"/>
          <w:szCs w:val="30"/>
        </w:rPr>
      </w:pPr>
      <w:r>
        <w:rPr>
          <w:rFonts w:hint="eastAsia" w:ascii="仿宋_GB2312" w:hAnsi="仿宋_GB2312" w:eastAsia="仿宋_GB2312" w:cs="仿宋_GB2312"/>
          <w:bCs/>
          <w:sz w:val="32"/>
          <w:szCs w:val="32"/>
        </w:rPr>
        <w:t>其他108件（诉求量不足30件的分类），占总受理量的2.46%。</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月诉求量稳步下降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cs="仿宋"/>
          <w:sz w:val="30"/>
          <w:szCs w:val="30"/>
        </w:rPr>
      </w:pPr>
      <w:r>
        <w:rPr>
          <w:rFonts w:hint="eastAsia" w:ascii="仿宋_GB2312" w:hAnsi="仿宋_GB2312" w:eastAsia="仿宋_GB2312" w:cs="仿宋_GB2312"/>
          <w:sz w:val="32"/>
          <w:szCs w:val="32"/>
        </w:rPr>
        <w:t>2021年我委各月诉求量分别为1月813件、2月393件、3月310件、4月367件、5月456件、6月333件、7月279件、8月236件、9月302件、10月295件和11月253件，除4、5、9月出现反弹外，诉求量总体稳步下降。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解决率升速明显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我委接诉即办案件平均解决率为86.05%，各月解决率分别为1月70.21%、2月73.20%、3月75.31%、4月88.34%、5月95.26%、6月90.16%、7月91.82%、8月87.61%、9月93.97%、10月90.72%和11月90.00%。解决率上半年提升明显，下半年略有波动，总体呈上升态势。</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满意率稳步提高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0"/>
          <w:szCs w:val="30"/>
        </w:rPr>
      </w:pPr>
      <w:r>
        <w:rPr>
          <w:rFonts w:hint="eastAsia" w:ascii="仿宋_GB2312" w:hAnsi="仿宋_GB2312" w:eastAsia="仿宋_GB2312" w:cs="仿宋_GB2312"/>
          <w:sz w:val="32"/>
          <w:szCs w:val="32"/>
        </w:rPr>
        <w:t>2021年接诉即办案件平均满意率为93.18%，各月满意率分别为1月86.74%、2月91.76%、3月90.74%、4月92.15%、5月91.56%、6月92.62%、7月96.91%、8月93.98%、9月97.41%、10月95.67%和11月95.40%，满意率总体呈现稳步上升态势，但上下波动频繁。</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0" w:firstLineChars="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压减成绩提高显著</w:t>
      </w:r>
    </w:p>
    <w:p>
      <w:pPr>
        <w:pStyle w:val="2"/>
        <w:keepNext w:val="0"/>
        <w:keepLines w:val="0"/>
        <w:pageBreakBefore w:val="0"/>
        <w:kinsoku/>
        <w:wordWrap/>
        <w:overflowPunct/>
        <w:topLinePunct w:val="0"/>
        <w:autoSpaceDE/>
        <w:autoSpaceDN/>
        <w:bidi w:val="0"/>
        <w:adjustRightInd/>
        <w:snapToGrid/>
        <w:spacing w:before="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2021年1月我委压减成绩为82.91，经各部门持续努力，在11月达到了94.16，提升较为明显。其中9月压减成绩为96.55，在10件以上部门的压减成绩排名中位列第一。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pPr>
      <w:r>
        <w:rPr>
          <w:rFonts w:hint="eastAsia" w:ascii="黑体" w:hAnsi="黑体" w:eastAsia="黑体" w:cs="黑体"/>
          <w:sz w:val="32"/>
          <w:szCs w:val="32"/>
          <w:lang w:eastAsia="zh-CN"/>
        </w:rPr>
        <w:t>（二）</w:t>
      </w:r>
      <w:r>
        <w:rPr>
          <w:rFonts w:hint="eastAsia" w:ascii="黑体" w:hAnsi="黑体" w:eastAsia="黑体" w:cs="黑体"/>
          <w:sz w:val="32"/>
          <w:szCs w:val="32"/>
        </w:rPr>
        <w:t xml:space="preserve">热线诉求办理情况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w:t>
      </w:r>
      <w:r>
        <w:rPr>
          <w:rFonts w:hint="eastAsia" w:ascii="仿宋_GB2312" w:hAnsi="Calibri" w:eastAsia="仿宋_GB2312" w:cs="Times New Roman"/>
          <w:bCs/>
          <w:sz w:val="32"/>
          <w:szCs w:val="32"/>
        </w:rPr>
        <w:t>停车管理中心2372件，主要集中在路侧电子停车优惠申请政策问题740件、路侧电子停车位停车收费问题574件、增设路侧电子停车位问题380件、路侧停车后未缴纳停车费产生滞纳金罚款问题325件、路侧停车场管理问题253件、路侧电子停车位秩序管理问题及共享单车的管理问题100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2.</w:t>
      </w:r>
      <w:r>
        <w:rPr>
          <w:rFonts w:hint="eastAsia" w:ascii="仿宋_GB2312" w:hAnsi="Calibri" w:eastAsia="仿宋_GB2312" w:cs="Times New Roman"/>
          <w:bCs/>
          <w:sz w:val="32"/>
          <w:szCs w:val="32"/>
        </w:rPr>
        <w:t>静态交通管理科434件，主要集中在备案停车场的秩序管理、人员规范及其他协同工作。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3.</w:t>
      </w:r>
      <w:r>
        <w:rPr>
          <w:rFonts w:hint="eastAsia" w:ascii="仿宋_GB2312" w:hAnsi="Calibri" w:eastAsia="仿宋_GB2312" w:cs="Times New Roman"/>
          <w:bCs/>
          <w:sz w:val="32"/>
          <w:szCs w:val="32"/>
        </w:rPr>
        <w:t>交通综合科316件，主要集中在增设停车位，立体停车楼，医院学校周边交通整治问题。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4.</w:t>
      </w:r>
      <w:r>
        <w:rPr>
          <w:rFonts w:hint="eastAsia" w:ascii="仿宋_GB2312" w:hAnsi="Calibri" w:eastAsia="仿宋_GB2312" w:cs="Times New Roman"/>
          <w:bCs/>
          <w:sz w:val="32"/>
          <w:szCs w:val="32"/>
        </w:rPr>
        <w:t>市政管理科233件，主要集中在区属市政道路维护问题。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5.</w:t>
      </w:r>
      <w:r>
        <w:rPr>
          <w:rFonts w:hint="eastAsia" w:ascii="仿宋_GB2312" w:hAnsi="Calibri" w:eastAsia="仿宋_GB2312" w:cs="Times New Roman"/>
          <w:bCs/>
          <w:sz w:val="32"/>
          <w:szCs w:val="32"/>
        </w:rPr>
        <w:t>街景管理科216件，主要集中在路灯增设、管理问题及户外广告管理问题。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6.</w:t>
      </w:r>
      <w:r>
        <w:rPr>
          <w:rFonts w:hint="eastAsia" w:ascii="仿宋_GB2312" w:hAnsi="Calibri" w:eastAsia="仿宋_GB2312" w:cs="Times New Roman"/>
          <w:bCs/>
          <w:sz w:val="32"/>
          <w:szCs w:val="32"/>
        </w:rPr>
        <w:t>架空线指挥部216件，主要集中在架空线入地施工产生的施工扰民等问题。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7</w:t>
      </w:r>
      <w:r>
        <w:rPr>
          <w:rFonts w:hint="eastAsia" w:ascii="仿宋_GB2312" w:hAnsi="Calibri" w:eastAsia="仿宋_GB2312" w:cs="Times New Roman"/>
          <w:bCs/>
          <w:sz w:val="32"/>
          <w:szCs w:val="32"/>
        </w:rPr>
        <w:t>.</w:t>
      </w:r>
      <w:r>
        <w:rPr>
          <w:rFonts w:ascii="仿宋_GB2312" w:hAnsi="Calibri" w:eastAsia="仿宋_GB2312" w:cs="Times New Roman"/>
          <w:bCs/>
          <w:sz w:val="32"/>
          <w:szCs w:val="32"/>
        </w:rPr>
        <w:t>环境卫生管理科</w:t>
      </w:r>
      <w:r>
        <w:rPr>
          <w:rFonts w:hint="eastAsia" w:ascii="仿宋_GB2312" w:hAnsi="Calibri" w:eastAsia="仿宋_GB2312" w:cs="Times New Roman"/>
          <w:bCs/>
          <w:sz w:val="32"/>
          <w:szCs w:val="32"/>
        </w:rPr>
        <w:t>201件，主要集中在公共厕所拆、改、建问题及密闭式垃圾清洁站选址、管理、清洁问题。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8.</w:t>
      </w:r>
      <w:r>
        <w:rPr>
          <w:rFonts w:ascii="仿宋_GB2312" w:hAnsi="Calibri" w:eastAsia="仿宋_GB2312" w:cs="Times New Roman"/>
          <w:bCs/>
          <w:sz w:val="32"/>
          <w:szCs w:val="32"/>
        </w:rPr>
        <w:t>供暖管理科</w:t>
      </w:r>
      <w:r>
        <w:rPr>
          <w:rFonts w:hint="eastAsia" w:ascii="仿宋_GB2312" w:hAnsi="Calibri" w:eastAsia="仿宋_GB2312" w:cs="Times New Roman"/>
          <w:bCs/>
          <w:sz w:val="32"/>
          <w:szCs w:val="32"/>
        </w:rPr>
        <w:t>181件，主要集中在供暖季居民供暖问题。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9.</w:t>
      </w:r>
      <w:r>
        <w:rPr>
          <w:rFonts w:ascii="仿宋_GB2312" w:hAnsi="Calibri" w:eastAsia="仿宋_GB2312" w:cs="Times New Roman"/>
          <w:bCs/>
          <w:sz w:val="32"/>
          <w:szCs w:val="32"/>
        </w:rPr>
        <w:t>环境建设规划科</w:t>
      </w:r>
      <w:r>
        <w:rPr>
          <w:rFonts w:hint="eastAsia" w:ascii="仿宋_GB2312" w:hAnsi="Calibri" w:eastAsia="仿宋_GB2312" w:cs="Times New Roman"/>
          <w:bCs/>
          <w:sz w:val="32"/>
          <w:szCs w:val="32"/>
        </w:rPr>
        <w:t>105件，主要集中在平安大街改造项目对周边居民及旅游大巴停放的影响问题。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10.</w:t>
      </w:r>
      <w:r>
        <w:rPr>
          <w:rFonts w:ascii="仿宋_GB2312" w:hAnsi="Calibri" w:eastAsia="仿宋_GB2312" w:cs="Times New Roman"/>
          <w:bCs/>
          <w:sz w:val="32"/>
          <w:szCs w:val="32"/>
        </w:rPr>
        <w:t>能源协调科</w:t>
      </w:r>
      <w:r>
        <w:rPr>
          <w:rFonts w:hint="eastAsia" w:ascii="仿宋_GB2312" w:hAnsi="Calibri" w:eastAsia="仿宋_GB2312" w:cs="Times New Roman"/>
          <w:bCs/>
          <w:sz w:val="32"/>
          <w:szCs w:val="32"/>
        </w:rPr>
        <w:t>34件，主要集中在增设充电桩及用电、燃气等问题。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11.</w:t>
      </w:r>
      <w:r>
        <w:rPr>
          <w:rFonts w:hint="eastAsia" w:ascii="仿宋_GB2312" w:hAnsi="Calibri" w:eastAsia="仿宋_GB2312" w:cs="Times New Roman"/>
          <w:bCs/>
          <w:sz w:val="32"/>
          <w:szCs w:val="32"/>
        </w:rPr>
        <w:t>市容环境整治科24件，主要集中在老城改造、拆迁遗留问题。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12.</w:t>
      </w:r>
      <w:r>
        <w:rPr>
          <w:rFonts w:ascii="仿宋_GB2312" w:hAnsi="Calibri" w:eastAsia="仿宋_GB2312" w:cs="Times New Roman"/>
          <w:bCs/>
          <w:sz w:val="32"/>
          <w:szCs w:val="32"/>
        </w:rPr>
        <w:t>固体废弃物管理科</w:t>
      </w:r>
      <w:r>
        <w:rPr>
          <w:rFonts w:hint="eastAsia" w:ascii="仿宋_GB2312" w:hAnsi="Calibri" w:eastAsia="仿宋_GB2312" w:cs="Times New Roman"/>
          <w:bCs/>
          <w:sz w:val="32"/>
          <w:szCs w:val="32"/>
        </w:rPr>
        <w:t>20件，主要集中在垃圾分类问题。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13.</w:t>
      </w:r>
      <w:r>
        <w:rPr>
          <w:rFonts w:hint="eastAsia" w:ascii="仿宋_GB2312" w:hAnsi="Calibri" w:eastAsia="仿宋_GB2312" w:cs="Times New Roman"/>
          <w:bCs/>
          <w:sz w:val="32"/>
          <w:szCs w:val="32"/>
        </w:rPr>
        <w:t>水务管理中心13件，主要集中在排水设施问题。</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仿宋_GB2312" w:hAnsi="Calibri" w:eastAsia="仿宋_GB2312" w:cs="Times New Roman"/>
          <w:b/>
          <w:sz w:val="32"/>
          <w:szCs w:val="32"/>
        </w:rPr>
        <w:t>14.</w:t>
      </w:r>
      <w:r>
        <w:rPr>
          <w:rFonts w:hint="eastAsia" w:ascii="仿宋_GB2312" w:hAnsi="Calibri" w:eastAsia="仿宋_GB2312" w:cs="Times New Roman"/>
          <w:bCs/>
          <w:sz w:val="32"/>
          <w:szCs w:val="32"/>
        </w:rPr>
        <w:t>办公室9件，主要集中在恶意投诉、停车场增设充电桩办理程序咨询及信访人接待相关问题。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15.</w:t>
      </w:r>
      <w:r>
        <w:rPr>
          <w:rFonts w:hint="eastAsia" w:ascii="仿宋_GB2312" w:hAnsi="Calibri" w:eastAsia="仿宋_GB2312" w:cs="Times New Roman"/>
          <w:bCs/>
          <w:sz w:val="32"/>
          <w:szCs w:val="32"/>
        </w:rPr>
        <w:t>市政市容管理中心5件，主要集中在渣土消纳问题。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16.</w:t>
      </w:r>
      <w:r>
        <w:rPr>
          <w:rFonts w:hint="eastAsia" w:ascii="仿宋_GB2312" w:hAnsi="Calibri" w:eastAsia="仿宋_GB2312" w:cs="Times New Roman"/>
          <w:bCs/>
          <w:sz w:val="32"/>
          <w:szCs w:val="32"/>
        </w:rPr>
        <w:t>节水办公室3件，主要集中在居民一户一表问题。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17.</w:t>
      </w:r>
      <w:r>
        <w:rPr>
          <w:rFonts w:hint="eastAsia" w:ascii="仿宋_GB2312" w:hAnsi="Calibri" w:eastAsia="仿宋_GB2312" w:cs="Times New Roman"/>
          <w:bCs/>
          <w:sz w:val="32"/>
          <w:szCs w:val="32"/>
        </w:rPr>
        <w:t>水务管理科1件，主要集中在河湖管理问题。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Calibri" w:eastAsia="仿宋_GB2312" w:cs="Times New Roman"/>
          <w:bCs/>
          <w:sz w:val="32"/>
          <w:szCs w:val="32"/>
        </w:rPr>
      </w:pPr>
      <w:r>
        <w:rPr>
          <w:rFonts w:hint="eastAsia" w:ascii="仿宋_GB2312" w:hAnsi="Calibri" w:eastAsia="仿宋_GB2312" w:cs="Times New Roman"/>
          <w:b/>
          <w:sz w:val="32"/>
          <w:szCs w:val="32"/>
        </w:rPr>
        <w:t>18.</w:t>
      </w:r>
      <w:r>
        <w:rPr>
          <w:rFonts w:hint="eastAsia" w:ascii="仿宋_GB2312" w:hAnsi="Calibri" w:eastAsia="仿宋_GB2312" w:cs="Times New Roman"/>
          <w:bCs/>
          <w:sz w:val="32"/>
          <w:szCs w:val="32"/>
        </w:rPr>
        <w:t>计划财务科1件，企业咨询备案相关流程。</w:t>
      </w:r>
    </w:p>
    <w:p>
      <w:pPr>
        <w:ind w:firstLine="3900" w:firstLineChars="1300"/>
        <w:rPr>
          <w:rFonts w:ascii="仿宋" w:hAnsi="仿宋" w:eastAsia="仿宋"/>
          <w:sz w:val="30"/>
          <w:szCs w:val="30"/>
        </w:rPr>
      </w:pPr>
    </w:p>
    <w:p>
      <w:pPr>
        <w:ind w:firstLine="3900" w:firstLineChars="1300"/>
        <w:rPr>
          <w:rFonts w:ascii="仿宋" w:hAnsi="仿宋" w:eastAsia="仿宋"/>
          <w:sz w:val="30"/>
          <w:szCs w:val="30"/>
        </w:rPr>
      </w:pPr>
    </w:p>
    <w:p>
      <w:pPr>
        <w:ind w:firstLine="3600" w:firstLineChars="1200"/>
        <w:rPr>
          <w:rFonts w:ascii="仿宋" w:hAnsi="仿宋" w:eastAsia="仿宋"/>
          <w:sz w:val="30"/>
          <w:szCs w:val="30"/>
        </w:rPr>
      </w:pPr>
      <w:r>
        <w:rPr>
          <w:rFonts w:hint="eastAsia" w:ascii="仿宋" w:hAnsi="仿宋" w:eastAsia="仿宋"/>
          <w:sz w:val="30"/>
          <w:szCs w:val="30"/>
        </w:rPr>
        <w:t>西城区城市管理委员会</w:t>
      </w:r>
    </w:p>
    <w:p>
      <w:pPr>
        <w:ind w:firstLine="3900" w:firstLineChars="1300"/>
        <w:rPr>
          <w:rFonts w:ascii="仿宋" w:hAnsi="仿宋" w:eastAsia="仿宋"/>
          <w:sz w:val="30"/>
          <w:szCs w:val="30"/>
        </w:rPr>
      </w:pPr>
      <w:r>
        <w:rPr>
          <w:rFonts w:hint="eastAsia" w:ascii="仿宋" w:hAnsi="仿宋" w:eastAsia="仿宋"/>
          <w:sz w:val="30"/>
          <w:szCs w:val="30"/>
        </w:rPr>
        <w:t>202</w:t>
      </w:r>
      <w:r>
        <w:rPr>
          <w:rFonts w:hint="eastAsia" w:ascii="仿宋" w:hAnsi="仿宋" w:eastAsia="仿宋"/>
          <w:sz w:val="30"/>
          <w:szCs w:val="30"/>
          <w:lang w:val="en-US" w:eastAsia="zh-CN"/>
        </w:rPr>
        <w:t>2</w:t>
      </w:r>
      <w:r>
        <w:rPr>
          <w:rFonts w:hint="eastAsia" w:ascii="仿宋" w:hAnsi="仿宋" w:eastAsia="仿宋"/>
          <w:sz w:val="30"/>
          <w:szCs w:val="30"/>
        </w:rPr>
        <w:t>年1月12日</w:t>
      </w: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3D"/>
    <w:rsid w:val="000B76CA"/>
    <w:rsid w:val="002F6B7C"/>
    <w:rsid w:val="00360598"/>
    <w:rsid w:val="0037141A"/>
    <w:rsid w:val="004B5640"/>
    <w:rsid w:val="005718BC"/>
    <w:rsid w:val="006628B9"/>
    <w:rsid w:val="006A1732"/>
    <w:rsid w:val="006E433D"/>
    <w:rsid w:val="008106F9"/>
    <w:rsid w:val="00822C92"/>
    <w:rsid w:val="009E2886"/>
    <w:rsid w:val="00A03660"/>
    <w:rsid w:val="00A45D93"/>
    <w:rsid w:val="00FE2B52"/>
    <w:rsid w:val="0BFD13C0"/>
    <w:rsid w:val="0D4E2FA5"/>
    <w:rsid w:val="321F2C5E"/>
    <w:rsid w:val="371D201C"/>
    <w:rsid w:val="3C776906"/>
    <w:rsid w:val="3D291001"/>
    <w:rsid w:val="5290006C"/>
    <w:rsid w:val="57A71560"/>
    <w:rsid w:val="57D20641"/>
    <w:rsid w:val="58B47F47"/>
    <w:rsid w:val="593F0CDD"/>
    <w:rsid w:val="5F623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unhideWhenUsed/>
    <w:uiPriority w:val="99"/>
    <w:pPr>
      <w:spacing w:before="120"/>
    </w:pPr>
    <w:rPr>
      <w:rFonts w:eastAsia="宋体" w:asciiTheme="majorHAnsi" w:hAnsiTheme="majorHAnsi" w:cstheme="majorBidi"/>
      <w:sz w:val="24"/>
      <w:szCs w:val="24"/>
    </w:rPr>
  </w:style>
  <w:style w:type="paragraph" w:styleId="3">
    <w:name w:val="Balloon Text"/>
    <w:basedOn w:val="1"/>
    <w:link w:val="6"/>
    <w:semiHidden/>
    <w:unhideWhenUsed/>
    <w:qFormat/>
    <w:uiPriority w:val="99"/>
    <w:rPr>
      <w:sz w:val="18"/>
      <w:szCs w:val="18"/>
    </w:rPr>
  </w:style>
  <w:style w:type="character" w:customStyle="1" w:styleId="6">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571</Words>
  <Characters>3260</Characters>
  <Lines>27</Lines>
  <Paragraphs>7</Paragraphs>
  <TotalTime>62</TotalTime>
  <ScaleCrop>false</ScaleCrop>
  <LinksUpToDate>false</LinksUpToDate>
  <CharactersWithSpaces>3824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2021-01-06T01:59:00Z</dcterms:created>
  <dc:creator>USER-</dc:creator>
  <cp:lastModifiedBy>骑车少年</cp:lastModifiedBy>
  <dcterms:modified xsi:type="dcterms:W3CDTF">2022-01-12T07:00:05Z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9A6610DA56894CBAB47811A9439D28F5</vt:lpwstr>
  </property>
</Properties>
</file>