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局20</w:t>
      </w:r>
      <w:r>
        <w:rPr>
          <w:rFonts w:hint="eastAsia" w:ascii="宋体" w:hAnsi="宋体"/>
          <w:b/>
          <w:sz w:val="44"/>
          <w:szCs w:val="44"/>
          <w:lang w:val="en-US" w:eastAsia="zh-CN"/>
        </w:rPr>
        <w:t>22</w:t>
      </w:r>
      <w:r>
        <w:rPr>
          <w:rFonts w:hint="eastAsia" w:ascii="宋体" w:hAnsi="宋体"/>
          <w:b/>
          <w:sz w:val="44"/>
          <w:szCs w:val="44"/>
        </w:rPr>
        <w:t>年部门预算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2022年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2022年部门预算收支及增减变化情况说明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2022年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pStyle w:val="2"/>
        <w:rPr>
          <w:rFonts w:hint="eastAsia"/>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第一部分、202</w:t>
      </w:r>
      <w:r>
        <w:rPr>
          <w:rFonts w:hint="eastAsia" w:ascii="楷体" w:hAnsi="楷体" w:eastAsia="楷体" w:cs="Times New Roman"/>
          <w:b/>
          <w:sz w:val="36"/>
          <w:szCs w:val="36"/>
          <w:lang w:val="en-US" w:eastAsia="zh-CN"/>
        </w:rPr>
        <w:t>2</w:t>
      </w:r>
      <w:r>
        <w:rPr>
          <w:rFonts w:hint="eastAsia" w:ascii="楷体" w:hAnsi="楷体" w:eastAsia="楷体" w:cs="Times New Roman"/>
          <w:b/>
          <w:sz w:val="36"/>
          <w:szCs w:val="36"/>
        </w:rPr>
        <w:t>年部门预算情况说明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⑶负责房屋交易管理及测绘审核工作。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⑷监督、指导、督促直管公房经营管理、产权管理和房屋修缮工作，负责牵头组织直管公房转租转借等情况的联合执法。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⑾负责管理权限内房屋行政执法工作，依法调处各类房屋纠纷。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⑿承办区政府和上级业务指导部门交办的其他事项。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179</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332</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324</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二、202</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年部门预算收支及增减变化情况说明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 xml:space="preserve">收入301,205,218.62 </w:t>
      </w:r>
      <w:r>
        <w:rPr>
          <w:rFonts w:hint="eastAsia" w:ascii="仿宋_GB2312" w:eastAsia="仿宋_GB2312"/>
          <w:color w:val="000000"/>
          <w:sz w:val="32"/>
          <w:szCs w:val="32"/>
        </w:rPr>
        <w:t>元，比20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入335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876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605.49</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减少34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671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386.87</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10.32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支出301,205,218.62</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lang w:val="en-US" w:eastAsia="zh-CN"/>
        </w:rPr>
        <w:t>1、基本支出预算60,951,858.62元，占总支出预算的20.24%,比2021年60,515,862.79元增加435,995.83元，增加0.72%,</w:t>
      </w:r>
      <w:r>
        <w:rPr>
          <w:rFonts w:hint="eastAsia" w:ascii="仿宋_GB2312" w:eastAsia="仿宋_GB2312"/>
          <w:color w:val="000000"/>
          <w:sz w:val="32"/>
          <w:szCs w:val="32"/>
          <w:highlight w:val="none"/>
          <w:lang w:val="en-US" w:eastAsia="zh-CN"/>
        </w:rPr>
        <w:t>主要原因是个别公用支出标准调整。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2、项目支出预算240</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253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360</w:t>
      </w:r>
      <w:r>
        <w:rPr>
          <w:rFonts w:hint="eastAsia" w:ascii="仿宋_GB2312" w:eastAsia="仿宋_GB2312"/>
          <w:color w:val="000000"/>
          <w:sz w:val="32"/>
          <w:szCs w:val="32"/>
          <w:lang w:val="en-US" w:eastAsia="zh-CN"/>
        </w:rPr>
        <w:t>元，占总支出预算的79.76%。比2021年275,360,742.7元减少35107382.7元，减少12.75%,</w:t>
      </w:r>
      <w:r>
        <w:rPr>
          <w:rFonts w:hint="eastAsia" w:ascii="仿宋_GB2312" w:eastAsia="仿宋_GB2312"/>
          <w:color w:val="000000"/>
          <w:sz w:val="32"/>
          <w:szCs w:val="32"/>
          <w:lang w:eastAsia="zh-CN"/>
        </w:rPr>
        <w:t>支出减少</w:t>
      </w:r>
      <w:r>
        <w:rPr>
          <w:rFonts w:hint="eastAsia" w:ascii="仿宋_GB2312" w:eastAsia="仿宋_GB2312"/>
          <w:color w:val="000000"/>
          <w:sz w:val="32"/>
          <w:szCs w:val="32"/>
        </w:rPr>
        <w:t>的主要原因</w:t>
      </w:r>
      <w:r>
        <w:rPr>
          <w:rFonts w:hint="eastAsia" w:ascii="仿宋_GB2312" w:eastAsia="仿宋_GB2312"/>
          <w:color w:val="000000"/>
          <w:sz w:val="32"/>
          <w:szCs w:val="32"/>
          <w:lang w:eastAsia="zh-CN"/>
        </w:rPr>
        <w:t>是保障性住房租金补贴预算申请数根据居民实际申请情况进行了调整</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、保障性住房后期管理经费、</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、标准租私房腾退安置工作、西城区选调（培）生人才住房202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年租金、房屋实测绘成果审核等。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 “三公”经费财政预算数</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eastAsia="zh-CN"/>
        </w:rPr>
        <w:t>没有变化</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年财政预算数0元，与20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27,916.4元一致</w:t>
      </w:r>
      <w:r>
        <w:rPr>
          <w:rFonts w:hint="eastAsia" w:ascii="仿宋_GB2312" w:eastAsia="仿宋_GB2312"/>
          <w:color w:val="000000"/>
          <w:sz w:val="32"/>
          <w:szCs w:val="32"/>
          <w:lang w:eastAsia="zh-CN"/>
        </w:rPr>
        <w:t>。</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年财政预算数0元，与2</w:t>
      </w:r>
      <w:r>
        <w:rPr>
          <w:rFonts w:hint="eastAsia" w:ascii="仿宋_GB2312" w:eastAsia="仿宋_GB2312"/>
          <w:color w:val="000000"/>
          <w:sz w:val="32"/>
          <w:szCs w:val="32"/>
          <w:lang w:val="en-US" w:eastAsia="zh-CN"/>
        </w:rPr>
        <w:t>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年预算没有安排公车购置及运行维护费。</w:t>
      </w:r>
    </w:p>
    <w:p>
      <w:pPr>
        <w:numPr>
          <w:ilvl w:val="0"/>
          <w:numId w:val="2"/>
        </w:numPr>
        <w:spacing w:line="560" w:lineRule="exact"/>
        <w:ind w:left="0" w:leftChars="0"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北京市西城区房屋管理局</w:t>
      </w:r>
      <w:r>
        <w:rPr>
          <w:rFonts w:hint="eastAsia" w:ascii="仿宋_GB2312" w:eastAsia="仿宋_GB2312"/>
          <w:color w:val="000000"/>
          <w:sz w:val="32"/>
          <w:szCs w:val="32"/>
        </w:rPr>
        <w:t>机关运行经费财政拨款预算3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880</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459.4元。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年涉及政府采购项目</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个，预算资金</w:t>
      </w:r>
      <w:r>
        <w:rPr>
          <w:rFonts w:hint="eastAsia" w:ascii="仿宋_GB2312" w:hAnsi="仿宋_GB2312" w:eastAsia="仿宋_GB2312" w:cs="仿宋_GB2312"/>
          <w:color w:val="000000"/>
          <w:sz w:val="32"/>
          <w:szCs w:val="32"/>
          <w:lang w:val="en-US" w:eastAsia="zh-CN"/>
        </w:rPr>
        <w:t>120.28万元</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年政府购买服务项目</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个，预算资金</w:t>
      </w:r>
      <w:r>
        <w:rPr>
          <w:rFonts w:hint="eastAsia" w:ascii="仿宋_GB2312" w:hAnsi="仿宋_GB2312" w:eastAsia="仿宋_GB2312" w:cs="仿宋_GB2312"/>
          <w:color w:val="000000"/>
          <w:sz w:val="32"/>
          <w:szCs w:val="32"/>
          <w:lang w:val="en-US" w:eastAsia="zh-CN"/>
        </w:rPr>
        <w:t>469.77万</w:t>
      </w:r>
      <w:r>
        <w:rPr>
          <w:rFonts w:hint="eastAsia" w:ascii="仿宋_GB2312" w:hAnsi="仿宋_GB2312" w:eastAsia="仿宋_GB2312" w:cs="仿宋_GB2312"/>
          <w:color w:val="000000"/>
          <w:sz w:val="32"/>
          <w:szCs w:val="32"/>
        </w:rPr>
        <w:t>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年填报绩效目标的预算项目</w:t>
      </w:r>
      <w:r>
        <w:rPr>
          <w:rFonts w:hint="eastAsia" w:ascii="仿宋_GB2312" w:hAnsi="仿宋_GB2312" w:eastAsia="仿宋_GB2312" w:cs="仿宋_GB2312"/>
          <w:color w:val="000000"/>
          <w:sz w:val="32"/>
          <w:szCs w:val="32"/>
          <w:highlight w:val="none"/>
          <w:lang w:val="en-US" w:eastAsia="zh-CN"/>
        </w:rPr>
        <w:t>28</w:t>
      </w:r>
      <w:bookmarkStart w:id="0" w:name="_GoBack"/>
      <w:bookmarkEnd w:id="0"/>
      <w:r>
        <w:rPr>
          <w:rFonts w:hint="eastAsia" w:ascii="仿宋_GB2312" w:hAnsi="仿宋_GB2312" w:eastAsia="仿宋_GB2312" w:cs="仿宋_GB2312"/>
          <w:color w:val="000000"/>
          <w:sz w:val="32"/>
          <w:szCs w:val="32"/>
          <w:highlight w:val="none"/>
        </w:rPr>
        <w:t>个。</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年北京市西城区房屋管理局</w:t>
      </w:r>
      <w:r>
        <w:rPr>
          <w:rFonts w:hint="eastAsia" w:ascii="仿宋_GB2312" w:hAnsi="仿宋_GB2312" w:eastAsia="仿宋_GB2312" w:cs="仿宋_GB2312"/>
          <w:color w:val="000000"/>
          <w:sz w:val="32"/>
          <w:szCs w:val="32"/>
          <w:lang w:eastAsia="zh-CN"/>
        </w:rPr>
        <w:t>组织开展部门整体支出绩效自评，</w:t>
      </w:r>
      <w:r>
        <w:rPr>
          <w:rFonts w:hint="eastAsia" w:ascii="仿宋_GB2312" w:hAnsi="仿宋_GB2312" w:eastAsia="仿宋_GB2312" w:cs="仿宋_GB2312"/>
          <w:color w:val="000000"/>
          <w:sz w:val="32"/>
          <w:szCs w:val="32"/>
        </w:rPr>
        <w:t>得分为</w:t>
      </w:r>
      <w:r>
        <w:rPr>
          <w:rFonts w:hint="eastAsia" w:ascii="仿宋_GB2312" w:hAnsi="仿宋_GB2312" w:eastAsia="仿宋_GB2312" w:cs="仿宋_GB2312"/>
          <w:color w:val="000000"/>
          <w:sz w:val="32"/>
          <w:szCs w:val="32"/>
          <w:lang w:val="en-US" w:eastAsia="zh-CN"/>
        </w:rPr>
        <w:t>87.76</w:t>
      </w:r>
      <w:r>
        <w:rPr>
          <w:rFonts w:hint="eastAsia" w:ascii="仿宋_GB2312" w:hAnsi="仿宋_GB2312" w:eastAsia="仿宋_GB2312" w:cs="仿宋_GB2312"/>
          <w:color w:val="000000"/>
          <w:sz w:val="32"/>
          <w:szCs w:val="32"/>
        </w:rPr>
        <w:t>分，评价等级为</w:t>
      </w:r>
      <w:r>
        <w:rPr>
          <w:rFonts w:hint="eastAsia" w:ascii="仿宋_GB2312" w:hAnsi="仿宋_GB2312" w:eastAsia="仿宋_GB2312" w:cs="仿宋_GB2312"/>
          <w:color w:val="000000"/>
          <w:sz w:val="32"/>
          <w:szCs w:val="32"/>
          <w:lang w:eastAsia="zh-CN"/>
        </w:rPr>
        <w:t>良好</w:t>
      </w:r>
      <w:r>
        <w:rPr>
          <w:rFonts w:hint="eastAsia" w:ascii="仿宋_GB2312" w:hAnsi="仿宋_GB2312" w:eastAsia="仿宋_GB2312" w:cs="仿宋_GB2312"/>
          <w:color w:val="000000"/>
          <w:sz w:val="32"/>
          <w:szCs w:val="32"/>
        </w:rPr>
        <w:t>。</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年底，本部门固定资产总额1066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万元，其中：车辆</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万元；单位价值50万元以上的通用设备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万元，单位价值100万元以上的专用设备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项目支出：指在基本支出之外为完成特定行政任务或事业发展目标所发生的支出。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机关运行经费是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footerReference r:id="rId3" w:type="default"/>
      <w:pgSz w:w="11906" w:h="16838"/>
      <w:pgMar w:top="1440" w:right="1332" w:bottom="995" w:left="1803"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2481580</wp:posOffset>
              </wp:positionH>
              <wp:positionV relativeFrom="paragraph">
                <wp:posOffset>-95250</wp:posOffset>
              </wp:positionV>
              <wp:extent cx="320675"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06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4pt;margin-top:-7.5pt;height:19pt;width:25.25pt;mso-position-horizontal-relative:margin;z-index:251659264;mso-width-relative:page;mso-height-relative:page;" filled="f" stroked="f" coordsize="21600,21600" o:gfxdata="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oiFz2QAAAAoB&#10;AAAPAAAAAAAAAAEAIAAAACIAAABkcnMvZG93bnJldi54bWxQSwECFAAUAAAACACHTuJA9FwTSRoC&#10;AAATBAAADgAAAAAAAAABACAAAAAoAQAAZHJzL2Uyb0RvYy54bWxQSwUGAAAAAAYABgBZAQAAtAUA&#10;AAAA&#10;">
              <v:fill on="f" focussize="0,0"/>
              <v:stroke on="f" weight="0.5pt"/>
              <v:imagedata o:title=""/>
              <o:lock v:ext="edit" aspectratio="f"/>
              <v:textbox inset="0mm,0mm,0mm,0mm">
                <w:txbxContent>
                  <w:p>
                    <w:pPr>
                      <w:pStyle w:val="4"/>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F5DF4"/>
    <w:rsid w:val="06671240"/>
    <w:rsid w:val="069B6C0A"/>
    <w:rsid w:val="072F2E71"/>
    <w:rsid w:val="0BAB6C65"/>
    <w:rsid w:val="0CB02DD3"/>
    <w:rsid w:val="12B82C6F"/>
    <w:rsid w:val="148B3F24"/>
    <w:rsid w:val="15F874AC"/>
    <w:rsid w:val="1821261A"/>
    <w:rsid w:val="18C27193"/>
    <w:rsid w:val="18FD07FF"/>
    <w:rsid w:val="1BFE4012"/>
    <w:rsid w:val="1CC02AA7"/>
    <w:rsid w:val="1D330BB4"/>
    <w:rsid w:val="1F5E1AA4"/>
    <w:rsid w:val="1FBA5AFA"/>
    <w:rsid w:val="21176BD3"/>
    <w:rsid w:val="216A3723"/>
    <w:rsid w:val="24A62C6B"/>
    <w:rsid w:val="25857F96"/>
    <w:rsid w:val="265343C5"/>
    <w:rsid w:val="266D7365"/>
    <w:rsid w:val="35AB10B1"/>
    <w:rsid w:val="37343210"/>
    <w:rsid w:val="37604A68"/>
    <w:rsid w:val="394815C5"/>
    <w:rsid w:val="3ABD6C24"/>
    <w:rsid w:val="3ADF1EA7"/>
    <w:rsid w:val="3B99741D"/>
    <w:rsid w:val="3D5B6744"/>
    <w:rsid w:val="3DB9113C"/>
    <w:rsid w:val="3EE2323D"/>
    <w:rsid w:val="42107F4A"/>
    <w:rsid w:val="43B866D9"/>
    <w:rsid w:val="43FC23AF"/>
    <w:rsid w:val="464878AA"/>
    <w:rsid w:val="477B2791"/>
    <w:rsid w:val="48883DE0"/>
    <w:rsid w:val="48A5047D"/>
    <w:rsid w:val="4E8B3978"/>
    <w:rsid w:val="4F1E5A31"/>
    <w:rsid w:val="5027464D"/>
    <w:rsid w:val="530263BD"/>
    <w:rsid w:val="55007F2E"/>
    <w:rsid w:val="55676BD1"/>
    <w:rsid w:val="55F31E0C"/>
    <w:rsid w:val="567A61A5"/>
    <w:rsid w:val="56A31FBE"/>
    <w:rsid w:val="59BD095F"/>
    <w:rsid w:val="5A9B0DC9"/>
    <w:rsid w:val="5C433F66"/>
    <w:rsid w:val="62D968F5"/>
    <w:rsid w:val="631C6CC5"/>
    <w:rsid w:val="63F8562A"/>
    <w:rsid w:val="66692F33"/>
    <w:rsid w:val="68FA78DE"/>
    <w:rsid w:val="6C69579A"/>
    <w:rsid w:val="6E834C4D"/>
    <w:rsid w:val="6E8E3627"/>
    <w:rsid w:val="6EFF1A70"/>
    <w:rsid w:val="6F830686"/>
    <w:rsid w:val="6FAB2CBD"/>
    <w:rsid w:val="73254648"/>
    <w:rsid w:val="74E910C9"/>
    <w:rsid w:val="773C1E52"/>
    <w:rsid w:val="77823C64"/>
    <w:rsid w:val="7B927EB8"/>
    <w:rsid w:val="7BB33412"/>
    <w:rsid w:val="7C9E5675"/>
    <w:rsid w:val="7DA459B6"/>
    <w:rsid w:val="7F1C6C05"/>
    <w:rsid w:val="7F54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5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default" w:ascii="Times New Roman" w:hAnsi="Times New Roman" w:cs="Times New Roman"/>
      <w:color w:val="000000"/>
      <w:sz w:val="24"/>
      <w:szCs w:val="24"/>
      <w:u w:val="none"/>
    </w:rPr>
  </w:style>
  <w:style w:type="character" w:customStyle="1" w:styleId="11">
    <w:name w:val="font6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张瑶</dc:creator>
  <cp:lastModifiedBy>瑶</cp:lastModifiedBy>
  <cp:lastPrinted>2022-01-14T06:29:05Z</cp:lastPrinted>
  <dcterms:modified xsi:type="dcterms:W3CDTF">2022-01-14T06:35:01Z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