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500"/>
        <w:rPr>
          <w:rFonts w:hint="eastAsia" w:ascii="仿宋_GB2312" w:hAnsi="Times New Roman" w:eastAsia="仿宋_GB2312" w:cs="Times New Roman"/>
          <w:b/>
          <w:bCs/>
          <w:color w:val="000000"/>
          <w:sz w:val="32"/>
          <w:szCs w:val="32"/>
          <w:lang w:eastAsia="zh-CN"/>
        </w:rPr>
      </w:pPr>
      <w:r>
        <w:rPr>
          <w:rFonts w:hint="eastAsia" w:ascii="仿宋_GB2312" w:hAnsi="Times New Roman" w:eastAsia="仿宋_GB2312" w:cs="Times New Roman"/>
          <w:b/>
          <w:bCs/>
          <w:color w:val="000000"/>
          <w:sz w:val="32"/>
          <w:szCs w:val="32"/>
        </w:rPr>
        <w:t>北京市西城区商务</w:t>
      </w:r>
      <w:r>
        <w:rPr>
          <w:rFonts w:hint="eastAsia" w:ascii="仿宋_GB2312" w:hAnsi="Times New Roman" w:eastAsia="仿宋_GB2312" w:cs="Times New Roman"/>
          <w:b/>
          <w:bCs/>
          <w:color w:val="000000"/>
          <w:sz w:val="32"/>
          <w:szCs w:val="32"/>
          <w:lang w:eastAsia="zh-CN"/>
        </w:rPr>
        <w:t>局</w:t>
      </w:r>
      <w:r>
        <w:rPr>
          <w:rFonts w:hint="eastAsia" w:ascii="仿宋_GB2312" w:eastAsia="仿宋_GB2312" w:cs="Times New Roman"/>
          <w:b/>
          <w:bCs/>
          <w:color w:val="000000"/>
          <w:sz w:val="32"/>
          <w:szCs w:val="32"/>
          <w:lang w:eastAsia="zh-CN"/>
        </w:rPr>
        <w:t>（本级）</w:t>
      </w:r>
    </w:p>
    <w:p>
      <w:pPr>
        <w:spacing w:line="560" w:lineRule="exact"/>
        <w:ind w:firstLine="1606" w:firstLineChars="5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20</w:t>
      </w:r>
      <w:r>
        <w:rPr>
          <w:rFonts w:hint="eastAsia" w:ascii="仿宋_GB2312" w:hAnsi="Times New Roman" w:eastAsia="仿宋_GB2312" w:cs="Times New Roman"/>
          <w:b/>
          <w:bCs/>
          <w:color w:val="000000"/>
          <w:sz w:val="32"/>
          <w:szCs w:val="32"/>
          <w:lang w:val="en-US" w:eastAsia="zh-CN"/>
        </w:rPr>
        <w:t>2</w:t>
      </w:r>
      <w:r>
        <w:rPr>
          <w:rFonts w:hint="eastAsia" w:ascii="仿宋_GB2312" w:eastAsia="仿宋_GB2312" w:cs="Times New Roman"/>
          <w:b/>
          <w:bCs/>
          <w:color w:val="000000"/>
          <w:sz w:val="32"/>
          <w:szCs w:val="32"/>
          <w:lang w:val="en-US" w:eastAsia="zh-CN"/>
        </w:rPr>
        <w:t>2</w:t>
      </w:r>
      <w:r>
        <w:rPr>
          <w:rFonts w:hint="eastAsia" w:ascii="仿宋_GB2312" w:hAnsi="Times New Roman" w:eastAsia="仿宋_GB2312" w:cs="Times New Roman"/>
          <w:b/>
          <w:bCs/>
          <w:color w:val="000000"/>
          <w:sz w:val="32"/>
          <w:szCs w:val="32"/>
        </w:rPr>
        <w:t>年部门预算编制信息公开</w:t>
      </w:r>
    </w:p>
    <w:p>
      <w:pPr>
        <w:spacing w:line="560" w:lineRule="exact"/>
        <w:ind w:firstLine="2249" w:firstLineChars="7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部门预算公开目录</w:t>
      </w:r>
    </w:p>
    <w:p>
      <w:pPr>
        <w:ind w:firstLine="1807" w:firstLineChars="500"/>
        <w:rPr>
          <w:rFonts w:ascii="楷体" w:hAnsi="楷体" w:eastAsia="楷体"/>
          <w:b/>
          <w:sz w:val="36"/>
          <w:szCs w:val="36"/>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（一）机关运行经费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楷体" w:hAnsi="楷体" w:eastAsia="楷体"/>
          <w:b/>
          <w:sz w:val="36"/>
          <w:szCs w:val="36"/>
        </w:rPr>
      </w:pPr>
      <w:r>
        <w:rPr>
          <w:rFonts w:hint="eastAsia" w:ascii="仿宋_GB2312" w:eastAsia="仿宋_GB2312"/>
          <w:sz w:val="32"/>
          <w:szCs w:val="32"/>
        </w:rPr>
        <w:t>表十四、部门整体支出绩效目标申报表</w:t>
      </w: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22</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napToGrid w:val="0"/>
        <w:spacing w:line="520" w:lineRule="exact"/>
        <w:ind w:firstLine="321" w:firstLineChars="1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lang w:eastAsia="zh-CN"/>
        </w:rPr>
        <w:t>一、</w:t>
      </w:r>
      <w:r>
        <w:rPr>
          <w:rFonts w:hint="eastAsia" w:ascii="仿宋_GB2312" w:hAnsi="仿宋" w:eastAsia="仿宋_GB2312" w:cs="Times New Roman"/>
          <w:b/>
          <w:bCs/>
          <w:sz w:val="32"/>
          <w:szCs w:val="32"/>
        </w:rPr>
        <w:t>部门主要职责及机构设置情况</w:t>
      </w:r>
    </w:p>
    <w:p>
      <w:pPr>
        <w:snapToGrid w:val="0"/>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1.职责：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）贯彻执行国家有关法律、法规、规章、政策及北京市的有关规定，研究提出内外贸易和对外经济合作的发展战略、中长期发展规划及年度计划并组织实施。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负责研究提出本区现代流通业发展规划，推进流通产业结构调整；促进流通企业改革，促进商贸服务业和社区商业发展，提出促进商贸中小企业发展的政策建议，推动流通标准化并组织推进连锁经营、商业特许经营、物流配送、电子商务等现代流通方式的创新和发展。</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促进市场发展，组织推进生活性服务业品质提升工作及相关行业发展促进工作。贯彻执行北京市生活性服务业政策标准、行业规范并组织实施；推进商业体系建设。监测相关行业运行，指导研究议订行业规范、标准并组织实施；制定推动生活性服务业网点建设的政策措施并组织实施。</w:t>
      </w:r>
      <w:r>
        <w:rPr>
          <w:rFonts w:hint="eastAsia" w:ascii="仿宋_GB2312" w:hAnsi="仿宋" w:eastAsia="仿宋_GB2312"/>
          <w:sz w:val="32"/>
          <w:szCs w:val="32"/>
          <w:lang w:val="en-US" w:eastAsia="zh-CN"/>
        </w:rPr>
        <w:t xml:space="preserve">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）负责本区消费促进工作，研究制定促消费措施并组织实施，指导有关部门开展促消费工作；监测消费市场和批发业运行情况。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）统筹协调本区整顿和规范流通秩序工作。提出规范市场运行、流通秩序的政策建议。参与推动商务领域信用建设、建立市场诚信公共服务平台，知道商业信用销售，按有关规定对特殊流通行业进行监督管理。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负责重要消费品市场调控的管理；负责建立健全生活必需品市场供应应急管理机制，监测分析市场运行、商品供求状况，调查分析商品价格信息，进行预测预警和信息引导；组织落实中央、北京市和本区重要会议、重大活动的商品供应和相关服务保障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负责本区对外经济合作和对外贸易工作；负责拟订促进外资外贸发展规划，提出促进外贸稳增长调结构的政策措施并组织实施。监测分析外资外贸运行情况。负责对外贸易经营者备案。促进对外贸易发展，推动服务贸易公共服务平台建设。负责本区外商投资相关管理；依法负责外商外资企业设立、变更以及外国投资者并购境内企业设立外商投资企业的备案工作，依法监督检查外商投资企业执行有关法律法规规章的情况并协调解决有关问题。</w:t>
      </w:r>
    </w:p>
    <w:p>
      <w:pPr>
        <w:snapToGrid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负责投资促进、招商引资工作。贯彻落实国家和北京市关于投资促进的方针政策，制定本区投资促进工作的中长期规划及年度计划。研究本区招商引资工作的重要问题，为制定本区招商引资政策提供意见及建议；负责招商投资工作的协调推进及各项投资政策的落实工作。统筹推进本区商务领域营商环境建设工作。</w:t>
      </w:r>
    </w:p>
    <w:p>
      <w:pPr>
        <w:snapToGrid w:val="0"/>
        <w:spacing w:line="520" w:lineRule="exact"/>
        <w:ind w:left="0" w:lef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）负责零食、食盐、典当、成品油流通等管理工作。</w:t>
      </w:r>
    </w:p>
    <w:p>
      <w:pPr>
        <w:snapToGrid w:val="0"/>
        <w:spacing w:line="520" w:lineRule="exact"/>
        <w:ind w:left="0" w:leftChars="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）指导监督重要商品收储、轮换和日常管理工作；组织实施应急生活必需品的储备管理及应急储备物资收储、轮换和日常管理工作。</w:t>
      </w:r>
    </w:p>
    <w:p>
      <w:pPr>
        <w:snapToGrid w:val="0"/>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）按照“管行业必须管安全、管业务必须管安全、管生产经营必须管安全”的要求，承担相关安全生产工作职责。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12</w:t>
      </w:r>
      <w:r>
        <w:rPr>
          <w:rFonts w:hint="eastAsia" w:ascii="仿宋_GB2312" w:hAnsi="仿宋" w:eastAsia="仿宋_GB2312"/>
          <w:sz w:val="32"/>
          <w:szCs w:val="32"/>
        </w:rPr>
        <w:t>）完成区委、区政府交办的其他任务。</w:t>
      </w:r>
    </w:p>
    <w:p>
      <w:pPr>
        <w:ind w:firstLine="555"/>
        <w:rPr>
          <w:rFonts w:ascii="仿宋_GB2312" w:eastAsia="仿宋_GB2312"/>
          <w:b/>
          <w:sz w:val="32"/>
          <w:szCs w:val="32"/>
        </w:rPr>
      </w:pPr>
      <w:r>
        <w:rPr>
          <w:rFonts w:hint="eastAsia" w:ascii="仿宋_GB2312" w:hAnsi="仿宋" w:eastAsia="仿宋_GB2312" w:cs="Times New Roman"/>
          <w:b/>
          <w:bCs/>
          <w:sz w:val="32"/>
          <w:szCs w:val="32"/>
        </w:rPr>
        <w:t>2.部门机构设置</w:t>
      </w:r>
      <w:r>
        <w:rPr>
          <w:rFonts w:hint="eastAsia" w:ascii="仿宋_GB2312" w:hAnsi="仿宋" w:eastAsia="仿宋_GB2312" w:cs="Times New Roman"/>
          <w:sz w:val="32"/>
          <w:szCs w:val="32"/>
        </w:rPr>
        <w:t>：区商</w:t>
      </w:r>
      <w:r>
        <w:rPr>
          <w:rFonts w:hint="eastAsia" w:ascii="仿宋_GB2312" w:hAnsi="华文仿宋" w:eastAsia="仿宋_GB2312" w:cs="Tahoma"/>
          <w:color w:val="000000"/>
          <w:sz w:val="32"/>
          <w:szCs w:val="32"/>
        </w:rPr>
        <w:t>务</w:t>
      </w:r>
      <w:r>
        <w:rPr>
          <w:rFonts w:hint="eastAsia" w:ascii="仿宋_GB2312" w:hAnsi="华文仿宋" w:eastAsia="仿宋_GB2312" w:cs="Tahoma"/>
          <w:color w:val="000000"/>
          <w:sz w:val="32"/>
          <w:szCs w:val="32"/>
          <w:lang w:eastAsia="zh-CN"/>
        </w:rPr>
        <w:t>局</w:t>
      </w:r>
      <w:r>
        <w:rPr>
          <w:rFonts w:hint="eastAsia" w:ascii="仿宋_GB2312" w:hAnsi="华文仿宋" w:eastAsia="仿宋_GB2312" w:cs="Tahoma"/>
          <w:color w:val="000000"/>
          <w:sz w:val="32"/>
          <w:szCs w:val="32"/>
        </w:rPr>
        <w:t>是区政府组成部门，内设8个科室。</w:t>
      </w:r>
    </w:p>
    <w:p>
      <w:pPr>
        <w:ind w:firstLine="555"/>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截止20</w:t>
      </w:r>
      <w:r>
        <w:rPr>
          <w:rFonts w:hint="eastAsia" w:ascii="仿宋_GB2312" w:eastAsia="仿宋_GB2312"/>
          <w:sz w:val="32"/>
          <w:szCs w:val="32"/>
          <w:lang w:val="en-US" w:eastAsia="zh-CN"/>
        </w:rPr>
        <w:t>21</w:t>
      </w:r>
      <w:r>
        <w:rPr>
          <w:rFonts w:hint="eastAsia" w:ascii="仿宋_GB2312" w:eastAsia="仿宋_GB2312"/>
          <w:sz w:val="32"/>
          <w:szCs w:val="32"/>
        </w:rPr>
        <w:t>年12月31日，区商务</w:t>
      </w:r>
      <w:r>
        <w:rPr>
          <w:rFonts w:hint="eastAsia" w:ascii="仿宋_GB2312" w:eastAsia="仿宋_GB2312"/>
          <w:sz w:val="32"/>
          <w:szCs w:val="32"/>
          <w:lang w:eastAsia="zh-CN"/>
        </w:rPr>
        <w:t>局</w:t>
      </w:r>
      <w:r>
        <w:rPr>
          <w:rFonts w:hint="eastAsia" w:ascii="仿宋_GB2312" w:eastAsia="仿宋_GB2312"/>
          <w:sz w:val="32"/>
          <w:szCs w:val="32"/>
        </w:rPr>
        <w:t>在职人员</w:t>
      </w:r>
      <w:r>
        <w:rPr>
          <w:rFonts w:hint="eastAsia" w:ascii="仿宋_GB2312" w:eastAsia="仿宋_GB2312"/>
          <w:sz w:val="32"/>
          <w:szCs w:val="32"/>
          <w:lang w:val="en-US" w:eastAsia="zh-CN"/>
        </w:rPr>
        <w:t>40</w:t>
      </w:r>
      <w:r>
        <w:rPr>
          <w:rFonts w:hint="eastAsia" w:ascii="仿宋_GB2312" w:eastAsia="仿宋_GB2312"/>
          <w:sz w:val="32"/>
          <w:szCs w:val="32"/>
        </w:rPr>
        <w:t>人，离休人员1人，退休人员3</w:t>
      </w:r>
      <w:r>
        <w:rPr>
          <w:rFonts w:hint="eastAsia" w:ascii="仿宋_GB2312" w:eastAsia="仿宋_GB2312"/>
          <w:sz w:val="32"/>
          <w:szCs w:val="32"/>
          <w:lang w:val="en-US" w:eastAsia="zh-CN"/>
        </w:rPr>
        <w:t>3</w:t>
      </w:r>
      <w:r>
        <w:rPr>
          <w:rFonts w:hint="eastAsia" w:ascii="仿宋_GB2312" w:eastAsia="仿宋_GB2312"/>
          <w:sz w:val="32"/>
          <w:szCs w:val="32"/>
        </w:rPr>
        <w:t>人。</w:t>
      </w:r>
    </w:p>
    <w:p>
      <w:pPr>
        <w:ind w:firstLine="555"/>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二、20</w:t>
      </w:r>
      <w:r>
        <w:rPr>
          <w:rFonts w:hint="eastAsia" w:ascii="仿宋_GB2312" w:hAnsi="仿宋" w:eastAsia="仿宋_GB2312" w:cs="Times New Roman"/>
          <w:b/>
          <w:bCs/>
          <w:sz w:val="32"/>
          <w:szCs w:val="32"/>
          <w:lang w:val="en-US" w:eastAsia="zh-CN"/>
        </w:rPr>
        <w:t>22</w:t>
      </w:r>
      <w:r>
        <w:rPr>
          <w:rFonts w:hint="eastAsia" w:ascii="仿宋_GB2312" w:hAnsi="仿宋" w:eastAsia="仿宋_GB2312" w:cs="Times New Roman"/>
          <w:b/>
          <w:bCs/>
          <w:sz w:val="32"/>
          <w:szCs w:val="32"/>
        </w:rPr>
        <w:t>年部门预算收支及增减变化情况说明</w:t>
      </w:r>
    </w:p>
    <w:p>
      <w:pPr>
        <w:ind w:firstLine="640" w:firstLineChars="200"/>
        <w:rPr>
          <w:rFonts w:hint="eastAsia" w:ascii="宋体" w:hAnsi="宋体" w:eastAsia="仿宋_GB2312" w:cs="宋体"/>
          <w:color w:val="000000"/>
          <w:kern w:val="0"/>
          <w:sz w:val="20"/>
          <w:szCs w:val="20"/>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年收入预算8,589.89</w:t>
      </w:r>
      <w:r>
        <w:rPr>
          <w:rFonts w:hint="eastAsia" w:ascii="仿宋_GB2312" w:eastAsia="仿宋_GB2312"/>
          <w:sz w:val="32"/>
          <w:szCs w:val="32"/>
          <w:lang w:eastAsia="zh-CN"/>
        </w:rPr>
        <w:t>万</w:t>
      </w:r>
      <w:r>
        <w:rPr>
          <w:rFonts w:hint="eastAsia" w:ascii="仿宋_GB2312" w:eastAsia="仿宋_GB2312"/>
          <w:sz w:val="32"/>
          <w:szCs w:val="32"/>
        </w:rPr>
        <w:t>元。其中：财政拨款8,589.89</w:t>
      </w:r>
      <w:r>
        <w:rPr>
          <w:rFonts w:hint="eastAsia" w:ascii="仿宋_GB2312" w:eastAsia="仿宋_GB2312"/>
          <w:sz w:val="32"/>
          <w:szCs w:val="32"/>
          <w:lang w:eastAsia="zh-CN"/>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比20</w:t>
      </w:r>
      <w:r>
        <w:rPr>
          <w:rFonts w:hint="eastAsia" w:ascii="仿宋_GB2312" w:eastAsia="仿宋_GB2312"/>
          <w:sz w:val="32"/>
          <w:szCs w:val="32"/>
          <w:lang w:val="en-US" w:eastAsia="zh-CN"/>
        </w:rPr>
        <w:t>21</w:t>
      </w:r>
      <w:r>
        <w:rPr>
          <w:rFonts w:hint="eastAsia" w:ascii="仿宋_GB2312" w:eastAsia="仿宋_GB2312"/>
          <w:sz w:val="32"/>
          <w:szCs w:val="32"/>
        </w:rPr>
        <w:t>年收入预算11945</w:t>
      </w:r>
      <w:r>
        <w:rPr>
          <w:rFonts w:hint="eastAsia" w:ascii="仿宋_GB2312" w:eastAsia="仿宋_GB2312"/>
          <w:sz w:val="32"/>
          <w:szCs w:val="32"/>
          <w:lang w:val="en-US" w:eastAsia="zh-CN"/>
        </w:rPr>
        <w:t>.</w:t>
      </w:r>
      <w:r>
        <w:rPr>
          <w:rFonts w:hint="eastAsia" w:ascii="仿宋_GB2312" w:eastAsia="仿宋_GB2312"/>
          <w:sz w:val="32"/>
          <w:szCs w:val="32"/>
        </w:rPr>
        <w:t>96</w:t>
      </w:r>
      <w:r>
        <w:rPr>
          <w:rFonts w:hint="eastAsia" w:ascii="仿宋_GB2312" w:eastAsia="仿宋_GB2312"/>
          <w:sz w:val="32"/>
          <w:szCs w:val="32"/>
          <w:lang w:eastAsia="zh-CN"/>
        </w:rPr>
        <w:t>万</w:t>
      </w:r>
      <w:bookmarkStart w:id="4" w:name="_GoBack"/>
      <w:bookmarkEnd w:id="4"/>
      <w:r>
        <w:rPr>
          <w:rFonts w:hint="eastAsia" w:ascii="仿宋_GB2312" w:eastAsia="仿宋_GB2312"/>
          <w:sz w:val="32"/>
          <w:szCs w:val="32"/>
        </w:rPr>
        <w:t>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3356.07万</w:t>
      </w:r>
      <w:r>
        <w:rPr>
          <w:rFonts w:hint="eastAsia" w:ascii="仿宋_GB2312" w:eastAsia="仿宋_GB2312"/>
          <w:sz w:val="32"/>
          <w:szCs w:val="32"/>
        </w:rPr>
        <w:t>元。主要原因为20</w:t>
      </w:r>
      <w:r>
        <w:rPr>
          <w:rFonts w:hint="eastAsia" w:ascii="仿宋_GB2312" w:eastAsia="仿宋_GB2312"/>
          <w:sz w:val="32"/>
          <w:szCs w:val="32"/>
          <w:lang w:val="en-US" w:eastAsia="zh-CN"/>
        </w:rPr>
        <w:t>22</w:t>
      </w:r>
      <w:r>
        <w:rPr>
          <w:rFonts w:hint="eastAsia" w:ascii="仿宋_GB2312" w:eastAsia="仿宋_GB2312"/>
          <w:sz w:val="32"/>
          <w:szCs w:val="32"/>
        </w:rPr>
        <w:t>年预算收入中项目经费有所</w:t>
      </w:r>
      <w:r>
        <w:rPr>
          <w:rFonts w:hint="eastAsia" w:ascii="仿宋_GB2312" w:eastAsia="仿宋_GB2312"/>
          <w:sz w:val="32"/>
          <w:szCs w:val="32"/>
          <w:lang w:eastAsia="zh-CN"/>
        </w:rPr>
        <w:t>减少</w:t>
      </w:r>
      <w:r>
        <w:rPr>
          <w:rFonts w:hint="eastAsia" w:ascii="仿宋_GB2312" w:eastAsia="仿宋_GB2312"/>
          <w:sz w:val="32"/>
          <w:szCs w:val="32"/>
        </w:rPr>
        <w:t>，例如：</w:t>
      </w:r>
      <w:r>
        <w:rPr>
          <w:rFonts w:hint="eastAsia" w:ascii="仿宋_GB2312" w:eastAsia="仿宋_GB2312"/>
          <w:sz w:val="32"/>
          <w:szCs w:val="32"/>
          <w:lang w:val="en-US" w:eastAsia="zh-CN"/>
        </w:rPr>
        <w:t>2021年项目控疫情稳增长重点工作经费、疫情期间减免房租补贴、西城区参加京澳洽谈会预算、西城消费配资发券项目等。</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年支出预算按用途划分：（1）基本支出预算</w:t>
      </w:r>
      <w:r>
        <w:rPr>
          <w:rFonts w:hint="eastAsia" w:ascii="仿宋_GB2312" w:eastAsia="仿宋_GB2312"/>
          <w:sz w:val="32"/>
          <w:szCs w:val="32"/>
          <w:lang w:val="en-US" w:eastAsia="zh-CN"/>
        </w:rPr>
        <w:t>1508.85万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基本支出比20</w:t>
      </w:r>
      <w:r>
        <w:rPr>
          <w:rFonts w:hint="eastAsia" w:ascii="仿宋_GB2312" w:eastAsia="仿宋_GB2312"/>
          <w:sz w:val="32"/>
          <w:szCs w:val="32"/>
          <w:lang w:val="en-US" w:eastAsia="zh-CN"/>
        </w:rPr>
        <w:t>21</w:t>
      </w:r>
      <w:r>
        <w:rPr>
          <w:rFonts w:hint="eastAsia" w:ascii="仿宋_GB2312" w:eastAsia="仿宋_GB2312"/>
          <w:sz w:val="32"/>
          <w:szCs w:val="32"/>
        </w:rPr>
        <w:t>年预算支出</w:t>
      </w:r>
      <w:r>
        <w:rPr>
          <w:rFonts w:hint="eastAsia" w:ascii="仿宋_GB2312" w:eastAsia="仿宋_GB2312"/>
          <w:sz w:val="32"/>
          <w:szCs w:val="32"/>
          <w:lang w:val="en-US" w:eastAsia="zh-CN"/>
        </w:rPr>
        <w:t>1418.47万</w:t>
      </w:r>
      <w:r>
        <w:rPr>
          <w:rFonts w:hint="eastAsia" w:ascii="仿宋_GB2312" w:eastAsia="仿宋_GB2312"/>
          <w:sz w:val="32"/>
          <w:szCs w:val="32"/>
        </w:rPr>
        <w:t>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90.38万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主要原因为20</w:t>
      </w:r>
      <w:r>
        <w:rPr>
          <w:rFonts w:hint="eastAsia" w:ascii="仿宋_GB2312" w:eastAsia="仿宋_GB2312"/>
          <w:sz w:val="32"/>
          <w:szCs w:val="32"/>
          <w:lang w:val="en-US" w:eastAsia="zh-CN"/>
        </w:rPr>
        <w:t>22</w:t>
      </w:r>
      <w:r>
        <w:rPr>
          <w:rFonts w:hint="eastAsia" w:ascii="仿宋_GB2312" w:eastAsia="仿宋_GB2312"/>
          <w:sz w:val="32"/>
          <w:szCs w:val="32"/>
        </w:rPr>
        <w:t>年预算中在职人员人数有所</w:t>
      </w:r>
      <w:r>
        <w:rPr>
          <w:rFonts w:hint="eastAsia" w:ascii="仿宋_GB2312" w:eastAsia="仿宋_GB2312"/>
          <w:sz w:val="32"/>
          <w:szCs w:val="32"/>
          <w:lang w:eastAsia="zh-CN"/>
        </w:rPr>
        <w:t>增加</w:t>
      </w:r>
      <w:r>
        <w:rPr>
          <w:rFonts w:hint="eastAsia" w:ascii="仿宋_GB2312" w:eastAsia="仿宋_GB2312"/>
          <w:sz w:val="32"/>
          <w:szCs w:val="32"/>
        </w:rPr>
        <w:t>，故人员经费有所</w:t>
      </w:r>
      <w:r>
        <w:rPr>
          <w:rFonts w:hint="eastAsia" w:ascii="仿宋_GB2312" w:eastAsia="仿宋_GB2312"/>
          <w:sz w:val="32"/>
          <w:szCs w:val="32"/>
          <w:lang w:eastAsia="zh-CN"/>
        </w:rPr>
        <w:t>增加</w:t>
      </w:r>
      <w:r>
        <w:rPr>
          <w:rFonts w:hint="eastAsia" w:ascii="仿宋_GB2312" w:eastAsia="仿宋_GB2312"/>
          <w:sz w:val="32"/>
          <w:szCs w:val="32"/>
        </w:rPr>
        <w:t>。（2）项目支出预算</w:t>
      </w:r>
      <w:r>
        <w:rPr>
          <w:rFonts w:hint="eastAsia" w:ascii="仿宋_GB2312" w:eastAsia="仿宋_GB2312"/>
          <w:sz w:val="32"/>
          <w:szCs w:val="32"/>
          <w:lang w:val="en-US" w:eastAsia="zh-CN"/>
        </w:rPr>
        <w:t>7081.04万</w:t>
      </w:r>
      <w:r>
        <w:rPr>
          <w:rFonts w:hint="eastAsia" w:ascii="仿宋_GB2312" w:eastAsia="仿宋_GB2312"/>
          <w:sz w:val="32"/>
          <w:szCs w:val="32"/>
        </w:rPr>
        <w:t>元。主要项目是①西城区生活性服务业发展建设②西城消费配资发劵项目③西城区生活必需品储备库运维。比20</w:t>
      </w:r>
      <w:r>
        <w:rPr>
          <w:rFonts w:hint="eastAsia" w:ascii="仿宋_GB2312" w:eastAsia="仿宋_GB2312"/>
          <w:sz w:val="32"/>
          <w:szCs w:val="32"/>
          <w:lang w:val="en-US" w:eastAsia="zh-CN"/>
        </w:rPr>
        <w:t>21</w:t>
      </w:r>
      <w:r>
        <w:rPr>
          <w:rFonts w:hint="eastAsia" w:ascii="仿宋_GB2312" w:eastAsia="仿宋_GB2312"/>
          <w:sz w:val="32"/>
          <w:szCs w:val="32"/>
        </w:rPr>
        <w:t>年项目预算支出</w:t>
      </w:r>
      <w:r>
        <w:rPr>
          <w:rFonts w:hint="eastAsia" w:ascii="仿宋_GB2312" w:eastAsia="仿宋_GB2312"/>
          <w:sz w:val="32"/>
          <w:szCs w:val="32"/>
          <w:lang w:val="en-US" w:eastAsia="zh-CN"/>
        </w:rPr>
        <w:t>10527.49万</w:t>
      </w:r>
      <w:r>
        <w:rPr>
          <w:rFonts w:hint="eastAsia" w:ascii="仿宋_GB2312" w:eastAsia="仿宋_GB2312"/>
          <w:sz w:val="32"/>
          <w:szCs w:val="32"/>
        </w:rPr>
        <w:t>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3446.45万</w:t>
      </w:r>
      <w:r>
        <w:rPr>
          <w:rFonts w:hint="eastAsia" w:ascii="仿宋_GB2312" w:eastAsia="仿宋_GB2312"/>
          <w:sz w:val="32"/>
          <w:szCs w:val="32"/>
        </w:rPr>
        <w:t>元。主要原因为20</w:t>
      </w:r>
      <w:r>
        <w:rPr>
          <w:rFonts w:hint="eastAsia" w:ascii="仿宋_GB2312" w:eastAsia="仿宋_GB2312"/>
          <w:sz w:val="32"/>
          <w:szCs w:val="32"/>
          <w:lang w:val="en-US" w:eastAsia="zh-CN"/>
        </w:rPr>
        <w:t>22</w:t>
      </w:r>
      <w:r>
        <w:rPr>
          <w:rFonts w:hint="eastAsia" w:ascii="仿宋_GB2312" w:eastAsia="仿宋_GB2312"/>
          <w:sz w:val="32"/>
          <w:szCs w:val="32"/>
        </w:rPr>
        <w:t>年项目</w:t>
      </w:r>
      <w:r>
        <w:rPr>
          <w:rFonts w:hint="eastAsia" w:ascii="仿宋_GB2312" w:eastAsia="仿宋_GB2312"/>
          <w:sz w:val="32"/>
          <w:szCs w:val="32"/>
          <w:lang w:eastAsia="zh-CN"/>
        </w:rPr>
        <w:t>经费较</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eastAsia="zh-CN"/>
        </w:rPr>
        <w:t>项目经费有所减少</w:t>
      </w:r>
      <w:r>
        <w:rPr>
          <w:rFonts w:hint="eastAsia" w:ascii="仿宋_GB2312" w:eastAsia="仿宋_GB2312"/>
          <w:sz w:val="32"/>
          <w:szCs w:val="32"/>
        </w:rPr>
        <w:t>，例如：</w:t>
      </w:r>
      <w:r>
        <w:rPr>
          <w:rFonts w:hint="eastAsia" w:ascii="仿宋_GB2312" w:eastAsia="仿宋_GB2312"/>
          <w:sz w:val="32"/>
          <w:szCs w:val="32"/>
          <w:lang w:val="en-US" w:eastAsia="zh-CN"/>
        </w:rPr>
        <w:t>2021年项目控疫情稳增长重点工作经费、疫情期间减免房租补贴、西城区参加京澳洽谈会预算、西城消费配资发券项目等。</w:t>
      </w:r>
    </w:p>
    <w:p>
      <w:pPr>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三、主要支出情况</w:t>
      </w:r>
    </w:p>
    <w:p>
      <w:pPr>
        <w:snapToGrid w:val="0"/>
        <w:spacing w:line="360" w:lineRule="auto"/>
        <w:ind w:left="284" w:firstLine="320" w:firstLineChars="100"/>
        <w:rPr>
          <w:rFonts w:ascii="仿宋_GB2312" w:hAnsi="仿宋" w:eastAsia="仿宋_GB2312"/>
          <w:sz w:val="32"/>
          <w:szCs w:val="32"/>
        </w:rPr>
      </w:pPr>
      <w:bookmarkStart w:id="0" w:name="_Toc17531"/>
      <w:bookmarkStart w:id="1" w:name="_Toc25448"/>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和家庭补助支出、公用支出</w:t>
      </w:r>
      <w:bookmarkStart w:id="2" w:name="_Toc3237"/>
      <w:bookmarkStart w:id="3" w:name="_Toc7025"/>
      <w:r>
        <w:rPr>
          <w:rFonts w:hint="eastAsia" w:ascii="仿宋_GB2312" w:hAnsi="仿宋" w:eastAsia="仿宋_GB2312"/>
          <w:sz w:val="32"/>
          <w:szCs w:val="32"/>
        </w:rPr>
        <w:t>。</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包括：西城区生活必需品储备库运维</w:t>
      </w:r>
      <w:r>
        <w:rPr>
          <w:rFonts w:hint="eastAsia" w:ascii="仿宋_GB2312" w:hAnsi="仿宋" w:eastAsia="仿宋_GB2312"/>
          <w:sz w:val="32"/>
          <w:szCs w:val="32"/>
          <w:lang w:eastAsia="zh-CN"/>
        </w:rPr>
        <w:t>、西城区生活性服务业发展建设项目、西城区生活性服务业发展建设工作经费、西城消费配资发劵项目等。</w:t>
      </w:r>
    </w:p>
    <w:p>
      <w:pPr>
        <w:ind w:firstLine="643" w:firstLineChars="20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四、部门“三公”经费财政拨款预算说明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1、因公出国（境）费预算财政拨款金额为0元，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2、公务接待费预算财政拨款金额为</w:t>
      </w:r>
      <w:r>
        <w:rPr>
          <w:rFonts w:hint="eastAsia" w:ascii="仿宋_GB2312" w:eastAsia="仿宋_GB2312"/>
          <w:color w:val="000000"/>
          <w:sz w:val="32"/>
          <w:szCs w:val="32"/>
          <w:lang w:val="en-US" w:eastAsia="zh-CN"/>
        </w:rPr>
        <w:t>5564.36</w:t>
      </w:r>
      <w:r>
        <w:rPr>
          <w:rFonts w:hint="eastAsia" w:ascii="仿宋_GB2312" w:eastAsia="仿宋_GB2312"/>
          <w:color w:val="000000"/>
          <w:sz w:val="32"/>
          <w:szCs w:val="32"/>
        </w:rPr>
        <w:t>元，</w:t>
      </w:r>
    </w:p>
    <w:p>
      <w:pPr>
        <w:spacing w:line="560" w:lineRule="exact"/>
        <w:ind w:firstLine="640" w:firstLineChars="200"/>
        <w:rPr>
          <w:color w:val="000000"/>
          <w:kern w:val="0"/>
          <w:szCs w:val="21"/>
        </w:rPr>
      </w:pPr>
      <w:r>
        <w:rPr>
          <w:rFonts w:hint="eastAsia" w:ascii="仿宋_GB2312" w:eastAsia="仿宋_GB2312"/>
          <w:color w:val="000000"/>
          <w:sz w:val="32"/>
          <w:szCs w:val="32"/>
        </w:rPr>
        <w:t>3、公务用车购置及运行维护费预算财政拨款金额为0元，其中：公务用车购置费0元，公务用车运行维护费0元。</w:t>
      </w:r>
    </w:p>
    <w:p>
      <w:pPr>
        <w:spacing w:line="56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五、其他情况说明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年本部门（含下属单位）履行一般行政事业管理职能、维持机关运行，用于一般公共预算安排的行政运行经费，合计</w:t>
      </w:r>
      <w:r>
        <w:rPr>
          <w:rFonts w:hint="eastAsia" w:ascii="仿宋_GB2312" w:eastAsia="仿宋_GB2312"/>
          <w:sz w:val="32"/>
          <w:szCs w:val="32"/>
          <w:lang w:val="en-US" w:eastAsia="zh-CN"/>
        </w:rPr>
        <w:t>111.32万</w:t>
      </w:r>
      <w:r>
        <w:rPr>
          <w:rFonts w:hint="eastAsia" w:ascii="仿宋_GB2312" w:eastAsia="仿宋_GB2312"/>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年涉及政府采购项目</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个，总金额为</w:t>
      </w:r>
      <w:r>
        <w:rPr>
          <w:rFonts w:hint="eastAsia" w:ascii="仿宋_GB2312" w:eastAsia="仿宋_GB2312"/>
          <w:color w:val="000000"/>
          <w:sz w:val="32"/>
          <w:szCs w:val="32"/>
          <w:lang w:val="en-US" w:eastAsia="zh-CN"/>
        </w:rPr>
        <w:t>55.03万</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个，总金额为</w:t>
      </w:r>
      <w:r>
        <w:rPr>
          <w:rFonts w:hint="eastAsia" w:ascii="仿宋_GB2312" w:eastAsia="仿宋_GB2312"/>
          <w:color w:val="000000"/>
          <w:sz w:val="32"/>
          <w:szCs w:val="32"/>
          <w:lang w:val="en-US" w:eastAsia="zh-CN"/>
        </w:rPr>
        <w:t>166.4万</w:t>
      </w:r>
      <w:r>
        <w:rPr>
          <w:rFonts w:hint="eastAsia" w:ascii="仿宋_GB2312" w:eastAsia="仿宋_GB2312"/>
          <w:color w:val="000000"/>
          <w:sz w:val="32"/>
          <w:szCs w:val="32"/>
        </w:rPr>
        <w:t>元。</w:t>
      </w:r>
    </w:p>
    <w:p>
      <w:pPr>
        <w:numPr>
          <w:ilvl w:val="0"/>
          <w:numId w:val="1"/>
        </w:numPr>
        <w:spacing w:line="560" w:lineRule="exact"/>
        <w:ind w:firstLine="645"/>
        <w:rPr>
          <w:rFonts w:ascii="仿宋_GB2312" w:eastAsia="仿宋_GB2312"/>
          <w:color w:val="000000"/>
          <w:sz w:val="32"/>
          <w:szCs w:val="32"/>
        </w:rPr>
      </w:pP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numPr>
          <w:ilvl w:val="0"/>
          <w:numId w:val="0"/>
        </w:numPr>
        <w:spacing w:line="560" w:lineRule="exac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2021年度中开展了部门整体预算支出及项目成本分析绩效评价工作，评价结果均为良好。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lang w:val="en-US" w:eastAsia="zh-CN"/>
        </w:rPr>
        <w:t>1027.55</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六、名称解释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jc w:val="left"/>
        <w:rPr>
          <w:rFonts w:hint="eastAsia" w:ascii="仿宋_GB2312" w:hAnsi="Times New Roman" w:eastAsia="仿宋_GB2312" w:cs="Times New Roman"/>
          <w:sz w:val="32"/>
          <w:szCs w:val="32"/>
          <w:lang w:eastAsia="zh-CN"/>
        </w:rPr>
      </w:pP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 xml:space="preserve">                            </w:t>
      </w:r>
      <w:r>
        <w:rPr>
          <w:rFonts w:hint="eastAsia" w:ascii="仿宋_GB2312" w:hAnsi="Times New Roman" w:eastAsia="仿宋_GB2312" w:cs="Times New Roman"/>
          <w:sz w:val="32"/>
          <w:szCs w:val="32"/>
        </w:rPr>
        <w:t>北京市西城区商务</w:t>
      </w:r>
      <w:r>
        <w:rPr>
          <w:rFonts w:hint="eastAsia" w:ascii="仿宋_GB2312" w:hAnsi="Times New Roman" w:eastAsia="仿宋_GB2312" w:cs="Times New Roman"/>
          <w:sz w:val="32"/>
          <w:szCs w:val="32"/>
          <w:lang w:eastAsia="zh-CN"/>
        </w:rPr>
        <w:t>局</w:t>
      </w:r>
    </w:p>
    <w:p>
      <w:pPr>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w:t>
      </w:r>
      <w:r>
        <w:rPr>
          <w:rFonts w:hint="eastAsia" w:ascii="仿宋_GB2312"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年1月</w:t>
      </w:r>
      <w:r>
        <w:rPr>
          <w:rFonts w:hint="eastAsia" w:ascii="仿宋_GB2312" w:eastAsia="仿宋_GB2312" w:cs="Times New Roman"/>
          <w:sz w:val="32"/>
          <w:szCs w:val="32"/>
          <w:lang w:val="en-US" w:eastAsia="zh-CN"/>
        </w:rPr>
        <w:t>19</w:t>
      </w:r>
      <w:r>
        <w:rPr>
          <w:rFonts w:hint="eastAsia" w:ascii="仿宋_GB2312" w:hAnsi="Times New Roman" w:eastAsia="仿宋_GB2312" w:cs="Times New Roman"/>
          <w:sz w:val="32"/>
          <w:szCs w:val="32"/>
          <w:lang w:val="en-US" w:eastAsia="zh-CN"/>
        </w:rPr>
        <w:t>日</w:t>
      </w:r>
      <w:r>
        <w:rPr>
          <w:rFonts w:hint="eastAsia" w:ascii="仿宋_GB2312"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1F8F5"/>
    <w:multiLevelType w:val="singleLevel"/>
    <w:tmpl w:val="DA51F8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2BCC"/>
    <w:rsid w:val="000413E5"/>
    <w:rsid w:val="00043830"/>
    <w:rsid w:val="000502E7"/>
    <w:rsid w:val="000777DC"/>
    <w:rsid w:val="000A6F7B"/>
    <w:rsid w:val="000B17EF"/>
    <w:rsid w:val="000B7C02"/>
    <w:rsid w:val="001361C1"/>
    <w:rsid w:val="0019790A"/>
    <w:rsid w:val="001B2504"/>
    <w:rsid w:val="001B33CC"/>
    <w:rsid w:val="001B6EC1"/>
    <w:rsid w:val="001D0A69"/>
    <w:rsid w:val="001F042E"/>
    <w:rsid w:val="0021287A"/>
    <w:rsid w:val="00253728"/>
    <w:rsid w:val="00275CC5"/>
    <w:rsid w:val="00290328"/>
    <w:rsid w:val="002A449E"/>
    <w:rsid w:val="002B17FA"/>
    <w:rsid w:val="002F24A9"/>
    <w:rsid w:val="00305B58"/>
    <w:rsid w:val="003245CC"/>
    <w:rsid w:val="00326E00"/>
    <w:rsid w:val="00357962"/>
    <w:rsid w:val="00362ED7"/>
    <w:rsid w:val="003713B2"/>
    <w:rsid w:val="00374D5C"/>
    <w:rsid w:val="0037690D"/>
    <w:rsid w:val="003802D9"/>
    <w:rsid w:val="003B0ECD"/>
    <w:rsid w:val="003C0466"/>
    <w:rsid w:val="003C60AF"/>
    <w:rsid w:val="003D5400"/>
    <w:rsid w:val="0042591A"/>
    <w:rsid w:val="00436767"/>
    <w:rsid w:val="0047536F"/>
    <w:rsid w:val="00497A61"/>
    <w:rsid w:val="004B2025"/>
    <w:rsid w:val="004D02A1"/>
    <w:rsid w:val="004D2B26"/>
    <w:rsid w:val="004D7FAE"/>
    <w:rsid w:val="005406D9"/>
    <w:rsid w:val="00551B79"/>
    <w:rsid w:val="005637A5"/>
    <w:rsid w:val="005C6F89"/>
    <w:rsid w:val="005E2DB4"/>
    <w:rsid w:val="005E4D0C"/>
    <w:rsid w:val="005E74F2"/>
    <w:rsid w:val="005F2A8E"/>
    <w:rsid w:val="005F75D4"/>
    <w:rsid w:val="006124ED"/>
    <w:rsid w:val="00630017"/>
    <w:rsid w:val="00641FC5"/>
    <w:rsid w:val="0065310D"/>
    <w:rsid w:val="00663A15"/>
    <w:rsid w:val="00664E70"/>
    <w:rsid w:val="00675C55"/>
    <w:rsid w:val="00695C5B"/>
    <w:rsid w:val="006B6BFA"/>
    <w:rsid w:val="006B6FB8"/>
    <w:rsid w:val="006D30B2"/>
    <w:rsid w:val="00700F14"/>
    <w:rsid w:val="00703207"/>
    <w:rsid w:val="00722C4D"/>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206CD"/>
    <w:rsid w:val="0092304E"/>
    <w:rsid w:val="0093084E"/>
    <w:rsid w:val="00946FF4"/>
    <w:rsid w:val="009503A0"/>
    <w:rsid w:val="00951800"/>
    <w:rsid w:val="00972939"/>
    <w:rsid w:val="0098608C"/>
    <w:rsid w:val="009A03CE"/>
    <w:rsid w:val="009A7B66"/>
    <w:rsid w:val="009C44C6"/>
    <w:rsid w:val="009D48EF"/>
    <w:rsid w:val="009D557A"/>
    <w:rsid w:val="009E4E11"/>
    <w:rsid w:val="00A154E7"/>
    <w:rsid w:val="00A31814"/>
    <w:rsid w:val="00A33093"/>
    <w:rsid w:val="00A60DE9"/>
    <w:rsid w:val="00A60E77"/>
    <w:rsid w:val="00A662D2"/>
    <w:rsid w:val="00A725EA"/>
    <w:rsid w:val="00A73591"/>
    <w:rsid w:val="00A86FA2"/>
    <w:rsid w:val="00AB21E7"/>
    <w:rsid w:val="00AB4BB0"/>
    <w:rsid w:val="00B163B3"/>
    <w:rsid w:val="00B335D3"/>
    <w:rsid w:val="00B55142"/>
    <w:rsid w:val="00B730A0"/>
    <w:rsid w:val="00B911C7"/>
    <w:rsid w:val="00BA6D67"/>
    <w:rsid w:val="00BF6738"/>
    <w:rsid w:val="00C1672E"/>
    <w:rsid w:val="00C255E3"/>
    <w:rsid w:val="00C40933"/>
    <w:rsid w:val="00C53C16"/>
    <w:rsid w:val="00C95734"/>
    <w:rsid w:val="00CA67AC"/>
    <w:rsid w:val="00CB2733"/>
    <w:rsid w:val="00CC2C59"/>
    <w:rsid w:val="00CF567D"/>
    <w:rsid w:val="00D0211A"/>
    <w:rsid w:val="00D14653"/>
    <w:rsid w:val="00D6598B"/>
    <w:rsid w:val="00D671F2"/>
    <w:rsid w:val="00D72649"/>
    <w:rsid w:val="00D852F1"/>
    <w:rsid w:val="00D93FC7"/>
    <w:rsid w:val="00D94DFC"/>
    <w:rsid w:val="00DB00CC"/>
    <w:rsid w:val="00DC0C87"/>
    <w:rsid w:val="00DC4082"/>
    <w:rsid w:val="00DF116C"/>
    <w:rsid w:val="00E1157D"/>
    <w:rsid w:val="00E13526"/>
    <w:rsid w:val="00E418A4"/>
    <w:rsid w:val="00E61BE2"/>
    <w:rsid w:val="00E80396"/>
    <w:rsid w:val="00EA1ADF"/>
    <w:rsid w:val="00EB3EF5"/>
    <w:rsid w:val="00ED772A"/>
    <w:rsid w:val="00F324FD"/>
    <w:rsid w:val="00F3382A"/>
    <w:rsid w:val="00F35E5E"/>
    <w:rsid w:val="00F83132"/>
    <w:rsid w:val="00F84BC9"/>
    <w:rsid w:val="00F960F1"/>
    <w:rsid w:val="00F9620B"/>
    <w:rsid w:val="00FB0604"/>
    <w:rsid w:val="00FB3B26"/>
    <w:rsid w:val="00FE248D"/>
    <w:rsid w:val="00FF0069"/>
    <w:rsid w:val="01237EDF"/>
    <w:rsid w:val="01C32805"/>
    <w:rsid w:val="039E4C44"/>
    <w:rsid w:val="03E34A21"/>
    <w:rsid w:val="064D209E"/>
    <w:rsid w:val="08462947"/>
    <w:rsid w:val="08636C0C"/>
    <w:rsid w:val="08CE331D"/>
    <w:rsid w:val="09572024"/>
    <w:rsid w:val="097F20A4"/>
    <w:rsid w:val="0AA02FCB"/>
    <w:rsid w:val="0B0948DC"/>
    <w:rsid w:val="0C1E1A17"/>
    <w:rsid w:val="0D5C636E"/>
    <w:rsid w:val="0DA42A30"/>
    <w:rsid w:val="0DF10F7F"/>
    <w:rsid w:val="10C269BF"/>
    <w:rsid w:val="113B2F04"/>
    <w:rsid w:val="12F349A2"/>
    <w:rsid w:val="13721443"/>
    <w:rsid w:val="13FA3181"/>
    <w:rsid w:val="14D50845"/>
    <w:rsid w:val="1589758E"/>
    <w:rsid w:val="15D43E5C"/>
    <w:rsid w:val="15E34443"/>
    <w:rsid w:val="16C22076"/>
    <w:rsid w:val="17E328AA"/>
    <w:rsid w:val="182E42A8"/>
    <w:rsid w:val="199410D9"/>
    <w:rsid w:val="1BAC6956"/>
    <w:rsid w:val="1BC40349"/>
    <w:rsid w:val="1C2C1979"/>
    <w:rsid w:val="1D920ACD"/>
    <w:rsid w:val="25893AEF"/>
    <w:rsid w:val="28011B94"/>
    <w:rsid w:val="286A7C7E"/>
    <w:rsid w:val="290E59BE"/>
    <w:rsid w:val="2AAE3192"/>
    <w:rsid w:val="2BD80026"/>
    <w:rsid w:val="2CE32C88"/>
    <w:rsid w:val="2ED9136F"/>
    <w:rsid w:val="306159EB"/>
    <w:rsid w:val="32332F7C"/>
    <w:rsid w:val="32347428"/>
    <w:rsid w:val="33364383"/>
    <w:rsid w:val="33794DF3"/>
    <w:rsid w:val="3421143A"/>
    <w:rsid w:val="344278AC"/>
    <w:rsid w:val="35CB53AF"/>
    <w:rsid w:val="368A369C"/>
    <w:rsid w:val="36C80CCA"/>
    <w:rsid w:val="39491813"/>
    <w:rsid w:val="39F52FDB"/>
    <w:rsid w:val="3A8745E8"/>
    <w:rsid w:val="3AD470FD"/>
    <w:rsid w:val="3AEA7AF1"/>
    <w:rsid w:val="3B2D1B0B"/>
    <w:rsid w:val="3C264343"/>
    <w:rsid w:val="3CD21AF8"/>
    <w:rsid w:val="3D3562F8"/>
    <w:rsid w:val="3DF43624"/>
    <w:rsid w:val="3E0F36DE"/>
    <w:rsid w:val="42B43B77"/>
    <w:rsid w:val="42EE4675"/>
    <w:rsid w:val="454A0147"/>
    <w:rsid w:val="46BE5654"/>
    <w:rsid w:val="47F230A6"/>
    <w:rsid w:val="48782A58"/>
    <w:rsid w:val="48F6341B"/>
    <w:rsid w:val="49250A7A"/>
    <w:rsid w:val="4A2C0910"/>
    <w:rsid w:val="4AAA6E7A"/>
    <w:rsid w:val="4ACA05C4"/>
    <w:rsid w:val="4BDD3E43"/>
    <w:rsid w:val="4EA96C0C"/>
    <w:rsid w:val="51161CF6"/>
    <w:rsid w:val="51BE53EE"/>
    <w:rsid w:val="52383FF3"/>
    <w:rsid w:val="530664DB"/>
    <w:rsid w:val="549239F0"/>
    <w:rsid w:val="56237090"/>
    <w:rsid w:val="57952240"/>
    <w:rsid w:val="59793C55"/>
    <w:rsid w:val="5AB84393"/>
    <w:rsid w:val="5B890CEB"/>
    <w:rsid w:val="5C7A61EF"/>
    <w:rsid w:val="5C9C65BC"/>
    <w:rsid w:val="5D2A630C"/>
    <w:rsid w:val="5D931599"/>
    <w:rsid w:val="5DA602D7"/>
    <w:rsid w:val="60990F0B"/>
    <w:rsid w:val="61503E42"/>
    <w:rsid w:val="61B25108"/>
    <w:rsid w:val="632762CA"/>
    <w:rsid w:val="63880B7F"/>
    <w:rsid w:val="646469B1"/>
    <w:rsid w:val="646D1B4F"/>
    <w:rsid w:val="64DF4A05"/>
    <w:rsid w:val="654827B7"/>
    <w:rsid w:val="65C44574"/>
    <w:rsid w:val="66AC2D85"/>
    <w:rsid w:val="679E3D1F"/>
    <w:rsid w:val="67BA555D"/>
    <w:rsid w:val="67F600EC"/>
    <w:rsid w:val="6A224AAF"/>
    <w:rsid w:val="6AB579BC"/>
    <w:rsid w:val="6AE06A2C"/>
    <w:rsid w:val="6BAF4D1E"/>
    <w:rsid w:val="6C1B4AAC"/>
    <w:rsid w:val="6C201F54"/>
    <w:rsid w:val="6C4127E1"/>
    <w:rsid w:val="6D046CE1"/>
    <w:rsid w:val="6D5339EB"/>
    <w:rsid w:val="6DA9249F"/>
    <w:rsid w:val="6DD8559D"/>
    <w:rsid w:val="705A7604"/>
    <w:rsid w:val="705E0F1E"/>
    <w:rsid w:val="72344920"/>
    <w:rsid w:val="72B807DE"/>
    <w:rsid w:val="72FF65FC"/>
    <w:rsid w:val="730C4128"/>
    <w:rsid w:val="73461A1C"/>
    <w:rsid w:val="736C04FF"/>
    <w:rsid w:val="73C904E9"/>
    <w:rsid w:val="74EE4D99"/>
    <w:rsid w:val="76E5491C"/>
    <w:rsid w:val="78614CCA"/>
    <w:rsid w:val="787F7CDF"/>
    <w:rsid w:val="7A6D212F"/>
    <w:rsid w:val="7C201163"/>
    <w:rsid w:val="7C2C7BF7"/>
    <w:rsid w:val="7C4040E4"/>
    <w:rsid w:val="7D534E2A"/>
    <w:rsid w:val="7D953C48"/>
    <w:rsid w:val="7DD25A06"/>
    <w:rsid w:val="7E9C75B2"/>
    <w:rsid w:val="7F77198A"/>
    <w:rsid w:val="7FB7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2462</Characters>
  <Lines>20</Lines>
  <Paragraphs>5</Paragraphs>
  <TotalTime>31</TotalTime>
  <ScaleCrop>false</ScaleCrop>
  <LinksUpToDate>false</LinksUpToDate>
  <CharactersWithSpaces>2888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花园园</cp:lastModifiedBy>
  <cp:lastPrinted>2017-01-19T09:19:00Z</cp:lastPrinted>
  <dcterms:modified xsi:type="dcterms:W3CDTF">2022-01-18T02:12:13Z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