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北京市西城区红十字会202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年部门预算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bookmarkStart w:id="33" w:name="_GoBack"/>
      <w:bookmarkEnd w:id="33"/>
    </w:p>
    <w:p>
      <w:pPr>
        <w:spacing w:line="720" w:lineRule="exact"/>
        <w:jc w:val="center"/>
        <w:rPr>
          <w:rFonts w:hint="eastAsia" w:ascii="方正小标宋简体" w:eastAsia="方正小标宋简体"/>
          <w:sz w:val="32"/>
          <w:szCs w:val="32"/>
        </w:rPr>
      </w:pPr>
      <w:r>
        <w:rPr>
          <w:rFonts w:hint="eastAsia" w:ascii="方正小标宋简体" w:eastAsia="方正小标宋简体"/>
          <w:sz w:val="32"/>
          <w:szCs w:val="32"/>
        </w:rPr>
        <w:t>目  录</w:t>
      </w:r>
    </w:p>
    <w:p>
      <w:pPr>
        <w:pStyle w:val="9"/>
        <w:tabs>
          <w:tab w:val="right" w:leader="dot" w:pos="8306"/>
          <w:tab w:val="clear" w:pos="8296"/>
        </w:tabs>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TOC \o "1-3" \h \z \u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_Toc19948 </w:instrText>
      </w:r>
      <w:r>
        <w:rPr>
          <w:rFonts w:hint="eastAsia" w:asciiTheme="minorEastAsia" w:hAnsiTheme="minorEastAsia" w:cstheme="minorEastAsia"/>
          <w:szCs w:val="28"/>
        </w:rPr>
        <w:fldChar w:fldCharType="separate"/>
      </w:r>
      <w:r>
        <w:rPr>
          <w:rFonts w:hint="eastAsia"/>
        </w:rPr>
        <w:t xml:space="preserve">第一部分  </w:t>
      </w:r>
      <w:r>
        <w:rPr>
          <w:rFonts w:hint="eastAsia"/>
          <w:lang w:eastAsia="zh-CN"/>
        </w:rPr>
        <w:t>2022</w:t>
      </w:r>
      <w:r>
        <w:rPr>
          <w:rFonts w:hint="eastAsia"/>
        </w:rPr>
        <w:t>年部门预算情况说明</w:t>
      </w:r>
      <w:r>
        <w:tab/>
      </w:r>
      <w:r>
        <w:fldChar w:fldCharType="begin"/>
      </w:r>
      <w:r>
        <w:instrText xml:space="preserve"> PAGEREF _Toc19948 \h </w:instrText>
      </w:r>
      <w:r>
        <w:fldChar w:fldCharType="separate"/>
      </w:r>
      <w:r>
        <w:t>2</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_Toc5846 </w:instrText>
      </w:r>
      <w:r>
        <w:rPr>
          <w:rFonts w:hint="eastAsia" w:asciiTheme="minorEastAsia" w:hAnsiTheme="minorEastAsia" w:cstheme="minorEastAsia"/>
          <w:szCs w:val="28"/>
        </w:rPr>
        <w:fldChar w:fldCharType="separate"/>
      </w:r>
      <w:r>
        <w:rPr>
          <w:rFonts w:hint="eastAsia"/>
        </w:rPr>
        <w:t>一、部门主要职责及机构设置情况</w:t>
      </w:r>
      <w:r>
        <w:tab/>
      </w:r>
      <w:r>
        <w:fldChar w:fldCharType="begin"/>
      </w:r>
      <w:r>
        <w:instrText xml:space="preserve"> PAGEREF _Toc5846 \h </w:instrText>
      </w:r>
      <w:r>
        <w:fldChar w:fldCharType="separate"/>
      </w:r>
      <w:r>
        <w:t>2</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_Toc8426 </w:instrText>
      </w:r>
      <w:r>
        <w:rPr>
          <w:rFonts w:hint="eastAsia" w:asciiTheme="minorEastAsia" w:hAnsiTheme="minorEastAsia" w:cstheme="minorEastAsia"/>
          <w:szCs w:val="28"/>
        </w:rPr>
        <w:fldChar w:fldCharType="separate"/>
      </w:r>
      <w:r>
        <w:rPr>
          <w:rFonts w:hint="eastAsia"/>
        </w:rPr>
        <w:t>（一）部门机构设置、职责</w:t>
      </w:r>
      <w:r>
        <w:tab/>
      </w:r>
      <w:r>
        <w:fldChar w:fldCharType="begin"/>
      </w:r>
      <w:r>
        <w:instrText xml:space="preserve"> PAGEREF _Toc8426 \h </w:instrText>
      </w:r>
      <w:r>
        <w:fldChar w:fldCharType="separate"/>
      </w:r>
      <w:r>
        <w:t>2</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_Toc23971 </w:instrText>
      </w:r>
      <w:r>
        <w:rPr>
          <w:rFonts w:hint="eastAsia" w:asciiTheme="minorEastAsia" w:hAnsiTheme="minorEastAsia" w:cstheme="minorEastAsia"/>
          <w:szCs w:val="28"/>
        </w:rPr>
        <w:fldChar w:fldCharType="separate"/>
      </w:r>
      <w:r>
        <w:rPr>
          <w:rFonts w:hint="eastAsia"/>
        </w:rPr>
        <w:t>（二）人员构成情况</w:t>
      </w:r>
      <w:r>
        <w:tab/>
      </w:r>
      <w:r>
        <w:fldChar w:fldCharType="begin"/>
      </w:r>
      <w:r>
        <w:instrText xml:space="preserve"> PAGEREF _Toc23971 \h </w:instrText>
      </w:r>
      <w:r>
        <w:fldChar w:fldCharType="separate"/>
      </w:r>
      <w:r>
        <w:t>2</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_Toc14920 </w:instrText>
      </w:r>
      <w:r>
        <w:rPr>
          <w:rFonts w:hint="eastAsia" w:asciiTheme="minorEastAsia" w:hAnsiTheme="minorEastAsia" w:cstheme="minorEastAsia"/>
          <w:szCs w:val="28"/>
        </w:rPr>
        <w:fldChar w:fldCharType="separate"/>
      </w:r>
      <w:r>
        <w:rPr>
          <w:rFonts w:hint="eastAsia"/>
        </w:rPr>
        <w:t>二、</w:t>
      </w:r>
      <w:r>
        <w:rPr>
          <w:rFonts w:hint="eastAsia"/>
          <w:lang w:eastAsia="zh-CN"/>
        </w:rPr>
        <w:t>2022</w:t>
      </w:r>
      <w:r>
        <w:rPr>
          <w:rFonts w:hint="eastAsia"/>
        </w:rPr>
        <w:t>年部门预算收支及增减变化情况说明</w:t>
      </w:r>
      <w:r>
        <w:tab/>
      </w:r>
      <w:r>
        <w:fldChar w:fldCharType="begin"/>
      </w:r>
      <w:r>
        <w:instrText xml:space="preserve"> PAGEREF _Toc14920 \h </w:instrText>
      </w:r>
      <w:r>
        <w:fldChar w:fldCharType="separate"/>
      </w:r>
      <w:r>
        <w:t>2</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_Toc16600 </w:instrText>
      </w:r>
      <w:r>
        <w:rPr>
          <w:rFonts w:hint="eastAsia" w:asciiTheme="minorEastAsia" w:hAnsiTheme="minorEastAsia" w:cstheme="minorEastAsia"/>
          <w:szCs w:val="28"/>
        </w:rPr>
        <w:fldChar w:fldCharType="separate"/>
      </w:r>
      <w:r>
        <w:rPr>
          <w:rFonts w:hint="eastAsia"/>
        </w:rPr>
        <w:t>三、主要支出情况</w:t>
      </w:r>
      <w:r>
        <w:tab/>
      </w:r>
      <w:r>
        <w:fldChar w:fldCharType="begin"/>
      </w:r>
      <w:r>
        <w:instrText xml:space="preserve"> PAGEREF _Toc16600 \h </w:instrText>
      </w:r>
      <w:r>
        <w:fldChar w:fldCharType="separate"/>
      </w:r>
      <w:r>
        <w:t>2</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_Toc6366 </w:instrText>
      </w:r>
      <w:r>
        <w:rPr>
          <w:rFonts w:hint="eastAsia" w:asciiTheme="minorEastAsia" w:hAnsiTheme="minorEastAsia" w:cstheme="minorEastAsia"/>
          <w:szCs w:val="28"/>
        </w:rPr>
        <w:fldChar w:fldCharType="separate"/>
      </w:r>
      <w:r>
        <w:rPr>
          <w:rFonts w:hint="eastAsia"/>
        </w:rPr>
        <w:t>四、部门“三公”经费财政拨款预算说明</w:t>
      </w:r>
      <w:r>
        <w:tab/>
      </w:r>
      <w:r>
        <w:fldChar w:fldCharType="begin"/>
      </w:r>
      <w:r>
        <w:instrText xml:space="preserve"> PAGEREF _Toc6366 \h </w:instrText>
      </w:r>
      <w:r>
        <w:fldChar w:fldCharType="separate"/>
      </w:r>
      <w:r>
        <w:t>3</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_Toc18974 </w:instrText>
      </w:r>
      <w:r>
        <w:rPr>
          <w:rFonts w:hint="eastAsia" w:asciiTheme="minorEastAsia" w:hAnsiTheme="minorEastAsia" w:cstheme="minorEastAsia"/>
          <w:szCs w:val="28"/>
        </w:rPr>
        <w:fldChar w:fldCharType="separate"/>
      </w:r>
      <w:r>
        <w:rPr>
          <w:rFonts w:hint="eastAsia"/>
        </w:rPr>
        <w:t>（一）“三公”经费的单位范围</w:t>
      </w:r>
      <w:r>
        <w:tab/>
      </w:r>
      <w:r>
        <w:fldChar w:fldCharType="begin"/>
      </w:r>
      <w:r>
        <w:instrText xml:space="preserve"> PAGEREF _Toc18974 \h </w:instrText>
      </w:r>
      <w:r>
        <w:fldChar w:fldCharType="separate"/>
      </w:r>
      <w:r>
        <w:t>3</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_Toc21783 </w:instrText>
      </w:r>
      <w:r>
        <w:rPr>
          <w:rFonts w:hint="eastAsia" w:asciiTheme="minorEastAsia" w:hAnsiTheme="minorEastAsia" w:cstheme="minorEastAsia"/>
          <w:szCs w:val="28"/>
        </w:rPr>
        <w:fldChar w:fldCharType="separate"/>
      </w:r>
      <w:r>
        <w:rPr>
          <w:rFonts w:hint="eastAsia"/>
        </w:rPr>
        <w:t>（二）“三公”经费预算财政拨款情况说明</w:t>
      </w:r>
      <w:r>
        <w:tab/>
      </w:r>
      <w:r>
        <w:fldChar w:fldCharType="begin"/>
      </w:r>
      <w:r>
        <w:instrText xml:space="preserve"> PAGEREF _Toc21783 \h </w:instrText>
      </w:r>
      <w:r>
        <w:fldChar w:fldCharType="separate"/>
      </w:r>
      <w:r>
        <w:t>3</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_Toc14326 </w:instrText>
      </w:r>
      <w:r>
        <w:rPr>
          <w:rFonts w:hint="eastAsia" w:asciiTheme="minorEastAsia" w:hAnsiTheme="minorEastAsia" w:cstheme="minorEastAsia"/>
          <w:szCs w:val="28"/>
        </w:rPr>
        <w:fldChar w:fldCharType="separate"/>
      </w:r>
      <w:r>
        <w:rPr>
          <w:rFonts w:hint="eastAsia"/>
        </w:rPr>
        <w:t>（三）关于</w:t>
      </w:r>
      <w:r>
        <w:rPr>
          <w:rFonts w:hint="eastAsia"/>
          <w:lang w:eastAsia="zh-CN"/>
        </w:rPr>
        <w:t>2022</w:t>
      </w:r>
      <w:r>
        <w:rPr>
          <w:rFonts w:hint="eastAsia"/>
        </w:rPr>
        <w:t>年度部门预算中“三公”经费财政拨款预算与上年比增减情况及原因的说明</w:t>
      </w:r>
      <w:r>
        <w:tab/>
      </w:r>
      <w:r>
        <w:fldChar w:fldCharType="begin"/>
      </w:r>
      <w:r>
        <w:instrText xml:space="preserve"> PAGEREF _Toc14326 \h </w:instrText>
      </w:r>
      <w:r>
        <w:fldChar w:fldCharType="separate"/>
      </w:r>
      <w:r>
        <w:t>4</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_Toc9257 </w:instrText>
      </w:r>
      <w:r>
        <w:rPr>
          <w:rFonts w:hint="eastAsia" w:asciiTheme="minorEastAsia" w:hAnsiTheme="minorEastAsia" w:cstheme="minorEastAsia"/>
          <w:szCs w:val="28"/>
        </w:rPr>
        <w:fldChar w:fldCharType="separate"/>
      </w:r>
      <w:r>
        <w:rPr>
          <w:rFonts w:hint="eastAsia"/>
        </w:rPr>
        <w:t>五、其他情况说明</w:t>
      </w:r>
      <w:r>
        <w:tab/>
      </w:r>
      <w:r>
        <w:fldChar w:fldCharType="begin"/>
      </w:r>
      <w:r>
        <w:instrText xml:space="preserve"> PAGEREF _Toc9257 \h </w:instrText>
      </w:r>
      <w:r>
        <w:fldChar w:fldCharType="separate"/>
      </w:r>
      <w:r>
        <w:t>4</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_Toc141 </w:instrText>
      </w:r>
      <w:r>
        <w:rPr>
          <w:rFonts w:hint="eastAsia" w:asciiTheme="minorEastAsia" w:hAnsiTheme="minorEastAsia" w:cstheme="minorEastAsia"/>
          <w:szCs w:val="28"/>
        </w:rPr>
        <w:fldChar w:fldCharType="separate"/>
      </w:r>
      <w:r>
        <w:rPr>
          <w:rFonts w:hint="eastAsia"/>
        </w:rPr>
        <w:t>（一）机构运行经费说明</w:t>
      </w:r>
      <w:r>
        <w:tab/>
      </w:r>
      <w:r>
        <w:fldChar w:fldCharType="begin"/>
      </w:r>
      <w:r>
        <w:instrText xml:space="preserve"> PAGEREF _Toc141 \h </w:instrText>
      </w:r>
      <w:r>
        <w:fldChar w:fldCharType="separate"/>
      </w:r>
      <w:r>
        <w:t>4</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_Toc10779 </w:instrText>
      </w:r>
      <w:r>
        <w:rPr>
          <w:rFonts w:hint="eastAsia" w:asciiTheme="minorEastAsia" w:hAnsiTheme="minorEastAsia" w:cstheme="minorEastAsia"/>
          <w:szCs w:val="28"/>
        </w:rPr>
        <w:fldChar w:fldCharType="separate"/>
      </w:r>
      <w:r>
        <w:rPr>
          <w:rFonts w:hint="eastAsia"/>
        </w:rPr>
        <w:t>（二）政府采购预算说明</w:t>
      </w:r>
      <w:r>
        <w:tab/>
      </w:r>
      <w:r>
        <w:fldChar w:fldCharType="begin"/>
      </w:r>
      <w:r>
        <w:instrText xml:space="preserve"> PAGEREF _Toc10779 \h </w:instrText>
      </w:r>
      <w:r>
        <w:fldChar w:fldCharType="separate"/>
      </w:r>
      <w:r>
        <w:t>4</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_Toc19507 </w:instrText>
      </w:r>
      <w:r>
        <w:rPr>
          <w:rFonts w:hint="eastAsia" w:asciiTheme="minorEastAsia" w:hAnsiTheme="minorEastAsia" w:cstheme="minorEastAsia"/>
          <w:szCs w:val="28"/>
        </w:rPr>
        <w:fldChar w:fldCharType="separate"/>
      </w:r>
      <w:r>
        <w:rPr>
          <w:rFonts w:hint="eastAsia"/>
        </w:rPr>
        <w:t>（三）政府购买服务预算说明</w:t>
      </w:r>
      <w:r>
        <w:tab/>
      </w:r>
      <w:r>
        <w:fldChar w:fldCharType="begin"/>
      </w:r>
      <w:r>
        <w:instrText xml:space="preserve"> PAGEREF _Toc19507 \h </w:instrText>
      </w:r>
      <w:r>
        <w:fldChar w:fldCharType="separate"/>
      </w:r>
      <w:r>
        <w:t>5</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_Toc14547 </w:instrText>
      </w:r>
      <w:r>
        <w:rPr>
          <w:rFonts w:hint="eastAsia" w:asciiTheme="minorEastAsia" w:hAnsiTheme="minorEastAsia" w:cstheme="minorEastAsia"/>
          <w:szCs w:val="28"/>
        </w:rPr>
        <w:fldChar w:fldCharType="separate"/>
      </w:r>
      <w:r>
        <w:rPr>
          <w:rFonts w:hint="eastAsia"/>
        </w:rPr>
        <w:t>（四）绩效目标情况及绩效评价结果说明</w:t>
      </w:r>
      <w:r>
        <w:tab/>
      </w:r>
      <w:r>
        <w:fldChar w:fldCharType="begin"/>
      </w:r>
      <w:r>
        <w:instrText xml:space="preserve"> PAGEREF _Toc14547 \h </w:instrText>
      </w:r>
      <w:r>
        <w:fldChar w:fldCharType="separate"/>
      </w:r>
      <w:r>
        <w:t>5</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_Toc11430 </w:instrText>
      </w:r>
      <w:r>
        <w:rPr>
          <w:rFonts w:hint="eastAsia" w:asciiTheme="minorEastAsia" w:hAnsiTheme="minorEastAsia" w:cstheme="minorEastAsia"/>
          <w:szCs w:val="28"/>
        </w:rPr>
        <w:fldChar w:fldCharType="separate"/>
      </w:r>
      <w:r>
        <w:rPr>
          <w:rFonts w:hint="eastAsia"/>
        </w:rPr>
        <w:t>（五）国有资本经营预算财政拨款情况说明</w:t>
      </w:r>
      <w:r>
        <w:tab/>
      </w:r>
      <w:r>
        <w:fldChar w:fldCharType="begin"/>
      </w:r>
      <w:r>
        <w:instrText xml:space="preserve"> PAGEREF _Toc11430 \h </w:instrText>
      </w:r>
      <w:r>
        <w:fldChar w:fldCharType="separate"/>
      </w:r>
      <w:r>
        <w:t>6</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_Toc19656 </w:instrText>
      </w:r>
      <w:r>
        <w:rPr>
          <w:rFonts w:hint="eastAsia" w:asciiTheme="minorEastAsia" w:hAnsiTheme="minorEastAsia" w:cstheme="minorEastAsia"/>
          <w:szCs w:val="28"/>
        </w:rPr>
        <w:fldChar w:fldCharType="separate"/>
      </w:r>
      <w:r>
        <w:rPr>
          <w:rFonts w:hint="eastAsia"/>
        </w:rPr>
        <w:t>（六）国有资产占用情况说明</w:t>
      </w:r>
      <w:r>
        <w:tab/>
      </w:r>
      <w:r>
        <w:fldChar w:fldCharType="begin"/>
      </w:r>
      <w:r>
        <w:instrText xml:space="preserve"> PAGEREF _Toc19656 \h </w:instrText>
      </w:r>
      <w:r>
        <w:fldChar w:fldCharType="separate"/>
      </w:r>
      <w:r>
        <w:t>6</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_Toc16263 </w:instrText>
      </w:r>
      <w:r>
        <w:rPr>
          <w:rFonts w:hint="eastAsia" w:asciiTheme="minorEastAsia" w:hAnsiTheme="minorEastAsia" w:cstheme="minorEastAsia"/>
          <w:szCs w:val="28"/>
        </w:rPr>
        <w:fldChar w:fldCharType="separate"/>
      </w:r>
      <w:r>
        <w:rPr>
          <w:rFonts w:hint="eastAsia"/>
        </w:rPr>
        <w:t>六、名词解释</w:t>
      </w:r>
      <w:r>
        <w:tab/>
      </w:r>
      <w:r>
        <w:fldChar w:fldCharType="begin"/>
      </w:r>
      <w:r>
        <w:instrText xml:space="preserve"> PAGEREF _Toc16263 \h </w:instrText>
      </w:r>
      <w:r>
        <w:fldChar w:fldCharType="separate"/>
      </w:r>
      <w:r>
        <w:t>6</w:t>
      </w:r>
      <w:r>
        <w:fldChar w:fldCharType="end"/>
      </w:r>
      <w:r>
        <w:rPr>
          <w:rFonts w:hint="eastAsia" w:asciiTheme="minorEastAsia" w:hAnsiTheme="minorEastAsia" w:cstheme="minorEastAsia"/>
          <w:szCs w:val="28"/>
        </w:rPr>
        <w:fldChar w:fldCharType="end"/>
      </w:r>
    </w:p>
    <w:p>
      <w:pPr>
        <w:pStyle w:val="9"/>
        <w:tabs>
          <w:tab w:val="right" w:leader="dot" w:pos="8306"/>
          <w:tab w:val="clear" w:pos="829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_Toc23559 </w:instrText>
      </w:r>
      <w:r>
        <w:rPr>
          <w:rFonts w:hint="eastAsia" w:asciiTheme="minorEastAsia" w:hAnsiTheme="minorEastAsia" w:cstheme="minorEastAsia"/>
          <w:szCs w:val="28"/>
        </w:rPr>
        <w:fldChar w:fldCharType="separate"/>
      </w:r>
      <w:r>
        <w:rPr>
          <w:rFonts w:hint="eastAsia" w:ascii="黑体" w:hAnsi="黑体"/>
          <w:szCs w:val="36"/>
        </w:rPr>
        <w:t xml:space="preserve">第二部分  </w:t>
      </w:r>
      <w:r>
        <w:rPr>
          <w:rFonts w:hint="eastAsia" w:ascii="黑体" w:hAnsi="黑体"/>
          <w:szCs w:val="36"/>
          <w:lang w:eastAsia="zh-CN"/>
        </w:rPr>
        <w:t>2022</w:t>
      </w:r>
      <w:r>
        <w:rPr>
          <w:rFonts w:hint="eastAsia" w:ascii="黑体" w:hAnsi="黑体"/>
          <w:szCs w:val="36"/>
        </w:rPr>
        <w:t>年部门预算表</w:t>
      </w:r>
      <w:r>
        <w:tab/>
      </w:r>
      <w:r>
        <w:fldChar w:fldCharType="begin"/>
      </w:r>
      <w:r>
        <w:instrText xml:space="preserve"> PAGEREF _Toc23559 \h </w:instrText>
      </w:r>
      <w:r>
        <w:fldChar w:fldCharType="separate"/>
      </w:r>
      <w:r>
        <w:t>8</w:t>
      </w:r>
      <w: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_Toc7611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01表 </w:t>
      </w:r>
      <w:r>
        <w:rPr>
          <w:rFonts w:hint="eastAsia" w:asciiTheme="minorEastAsia" w:hAnsiTheme="minorEastAsia" w:cstheme="minorEastAsia"/>
          <w:szCs w:val="28"/>
        </w:rPr>
        <w:t>收支总表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_Toc7611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8</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_Toc29363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02表 </w:t>
      </w:r>
      <w:r>
        <w:rPr>
          <w:rFonts w:hint="eastAsia" w:asciiTheme="minorEastAsia" w:hAnsiTheme="minorEastAsia" w:cstheme="minorEastAsia"/>
          <w:szCs w:val="28"/>
          <w:lang w:eastAsia="zh-CN"/>
        </w:rPr>
        <w:t>收入总表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_Toc29363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9</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_Toc18050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03表 </w:t>
      </w:r>
      <w:r>
        <w:rPr>
          <w:rFonts w:hint="eastAsia" w:asciiTheme="minorEastAsia" w:hAnsiTheme="minorEastAsia" w:cstheme="minorEastAsia"/>
          <w:szCs w:val="28"/>
          <w:lang w:eastAsia="zh-CN"/>
        </w:rPr>
        <w:t>支出预算总表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_Toc18050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10</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_Toc12322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04表 </w:t>
      </w:r>
      <w:r>
        <w:rPr>
          <w:rFonts w:hint="eastAsia" w:asciiTheme="minorEastAsia" w:hAnsiTheme="minorEastAsia" w:cstheme="minorEastAsia"/>
          <w:szCs w:val="28"/>
          <w:lang w:eastAsia="zh-CN"/>
        </w:rPr>
        <w:t>项目支出表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_Toc12322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11</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_Toc27781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05表 </w:t>
      </w:r>
      <w:r>
        <w:rPr>
          <w:rFonts w:hint="eastAsia" w:asciiTheme="minorEastAsia" w:hAnsiTheme="minorEastAsia" w:cstheme="minorEastAsia"/>
          <w:szCs w:val="28"/>
          <w:lang w:eastAsia="zh-CN"/>
        </w:rPr>
        <w:t>财政拨款收支预算总表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_Toc27781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12</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_Toc4679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06表 </w:t>
      </w:r>
      <w:r>
        <w:rPr>
          <w:rFonts w:hint="eastAsia" w:asciiTheme="minorEastAsia" w:hAnsiTheme="minorEastAsia" w:cstheme="minorEastAsia"/>
          <w:szCs w:val="28"/>
          <w:lang w:eastAsia="zh-CN"/>
        </w:rPr>
        <w:t>一般公共预算财政拨款支出表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_Toc4679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13</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_Toc31795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07表 </w:t>
      </w:r>
      <w:r>
        <w:rPr>
          <w:rFonts w:hint="eastAsia" w:asciiTheme="minorEastAsia" w:hAnsiTheme="minorEastAsia" w:cstheme="minorEastAsia"/>
          <w:szCs w:val="28"/>
          <w:lang w:eastAsia="zh-CN"/>
        </w:rPr>
        <w:t>一般公共预算财政拨款基本支出表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_Toc31795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14</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_Toc10506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08表 </w:t>
      </w:r>
      <w:r>
        <w:rPr>
          <w:rFonts w:hint="eastAsia" w:asciiTheme="minorEastAsia" w:hAnsiTheme="minorEastAsia" w:cstheme="minorEastAsia"/>
          <w:szCs w:val="28"/>
          <w:lang w:eastAsia="zh-CN"/>
        </w:rPr>
        <w:t>一般公共预算“三公”经费支出情况表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_Toc10506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15</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_Toc11809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09表 </w:t>
      </w:r>
      <w:r>
        <w:rPr>
          <w:rFonts w:hint="eastAsia" w:asciiTheme="minorEastAsia" w:hAnsiTheme="minorEastAsia" w:cstheme="minorEastAsia"/>
          <w:szCs w:val="28"/>
          <w:lang w:eastAsia="zh-CN"/>
        </w:rPr>
        <w:t>政府性基金预算财政拨款支出表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_Toc11809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15</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_Toc22969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10表 </w:t>
      </w:r>
      <w:r>
        <w:rPr>
          <w:rFonts w:hint="eastAsia" w:asciiTheme="minorEastAsia" w:hAnsiTheme="minorEastAsia" w:cstheme="minorEastAsia"/>
          <w:szCs w:val="28"/>
          <w:lang w:eastAsia="zh-CN"/>
        </w:rPr>
        <w:t xml:space="preserve"> 国有资本经营预算财政拨款支出表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_Toc22969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16</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_Toc19784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11表 </w:t>
      </w:r>
      <w:r>
        <w:rPr>
          <w:rFonts w:hint="eastAsia" w:asciiTheme="minorEastAsia" w:hAnsiTheme="minorEastAsia" w:cstheme="minorEastAsia"/>
          <w:szCs w:val="28"/>
          <w:lang w:eastAsia="zh-CN"/>
        </w:rPr>
        <w:t>政府购买服务预算财政拨款明细表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_Toc19784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16</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_Toc23233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12表 上级转移支付细化明细表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_Toc23233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16</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_Toc22616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13表 </w:t>
      </w:r>
      <w:r>
        <w:rPr>
          <w:rFonts w:hint="eastAsia" w:asciiTheme="minorEastAsia" w:hAnsiTheme="minorEastAsia" w:cstheme="minorEastAsia"/>
          <w:szCs w:val="28"/>
          <w:lang w:eastAsia="zh-CN"/>
        </w:rPr>
        <w:t>部门整体支出绩效目标申报表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_Toc22616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17</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_Toc4671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14表 </w:t>
      </w:r>
      <w:r>
        <w:rPr>
          <w:rFonts w:hint="eastAsia" w:asciiTheme="minorEastAsia" w:hAnsiTheme="minorEastAsia" w:cstheme="minorEastAsia"/>
          <w:szCs w:val="28"/>
          <w:lang w:eastAsia="zh-CN"/>
        </w:rPr>
        <w:t>项目支出绩效表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_Toc4671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20</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spacing w:line="500" w:lineRule="exact"/>
        <w:jc w:val="center"/>
        <w:rPr>
          <w:rFonts w:hint="eastAsia" w:asciiTheme="minorEastAsia" w:hAnsiTheme="minorEastAsia" w:cstheme="minorEastAsia"/>
          <w:szCs w:val="28"/>
        </w:rPr>
      </w:pPr>
      <w:r>
        <w:rPr>
          <w:rFonts w:hint="eastAsia" w:asciiTheme="minorEastAsia" w:hAnsiTheme="minorEastAsia" w:cstheme="minorEastAsia"/>
          <w:szCs w:val="28"/>
        </w:rPr>
        <w:fldChar w:fldCharType="end"/>
      </w:r>
    </w:p>
    <w:p>
      <w:pPr>
        <w:pStyle w:val="2"/>
        <w:bidi w:val="0"/>
      </w:pPr>
      <w:bookmarkStart w:id="0" w:name="_Toc19948"/>
      <w:r>
        <w:rPr>
          <w:rFonts w:hint="eastAsia"/>
        </w:rPr>
        <w:t xml:space="preserve">第一部分  </w:t>
      </w:r>
      <w:r>
        <w:rPr>
          <w:rFonts w:hint="eastAsia"/>
          <w:lang w:eastAsia="zh-CN"/>
        </w:rPr>
        <w:t>2022</w:t>
      </w:r>
      <w:r>
        <w:rPr>
          <w:rFonts w:hint="eastAsia"/>
        </w:rPr>
        <w:t>年部门预算情况说明</w:t>
      </w:r>
      <w:bookmarkEnd w:id="0"/>
    </w:p>
    <w:p/>
    <w:p>
      <w:pPr>
        <w:pStyle w:val="3"/>
        <w:ind w:firstLine="640"/>
      </w:pPr>
      <w:bookmarkStart w:id="1" w:name="_Toc5846"/>
      <w:r>
        <w:rPr>
          <w:rFonts w:hint="eastAsia"/>
        </w:rPr>
        <w:t>一、部门主要职责及机构设置情况</w:t>
      </w:r>
      <w:bookmarkEnd w:id="1"/>
    </w:p>
    <w:p>
      <w:pPr>
        <w:pStyle w:val="4"/>
        <w:ind w:firstLine="640"/>
      </w:pPr>
      <w:bookmarkStart w:id="2" w:name="_Toc8426"/>
      <w:r>
        <w:rPr>
          <w:rFonts w:hint="eastAsia"/>
        </w:rPr>
        <w:t>（一）部门机构设置、职责</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是中国红十字会的地方组织，是从事人道主义救助工作的社会团体。主要职责是依照《中国红十字会法》协助政府从事人道主义社会救助工作，联系、组织社会各界力量，组织推动红十字志愿服务，开展备灾救灾、赈济救助、应急救援、应急救护培训及演练、红十字青少年、红十字社区服务、招募造血干细胞捐献志愿者、宣传义务献血，红十字国际、国内交流援助等人道主义工作，传播红十字运动，建立红十字组织，发展红十字事业。</w:t>
      </w:r>
    </w:p>
    <w:p>
      <w:pPr>
        <w:pStyle w:val="4"/>
        <w:ind w:firstLine="640"/>
      </w:pPr>
      <w:bookmarkStart w:id="3" w:name="_Toc23971"/>
      <w:r>
        <w:rPr>
          <w:rFonts w:hint="eastAsia"/>
        </w:rPr>
        <w:t>（二）人员构成情况</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西城区红十字会行政编制18人，实际17人，长期聘用临时工3人，退休人员7人。</w:t>
      </w:r>
    </w:p>
    <w:p>
      <w:pPr>
        <w:spacing w:line="560" w:lineRule="exact"/>
        <w:ind w:firstLine="640" w:firstLineChars="200"/>
        <w:rPr>
          <w:rFonts w:ascii="仿宋" w:hAnsi="仿宋" w:eastAsia="仿宋"/>
          <w:sz w:val="32"/>
          <w:szCs w:val="32"/>
        </w:rPr>
      </w:pPr>
    </w:p>
    <w:p>
      <w:pPr>
        <w:pStyle w:val="3"/>
        <w:ind w:firstLine="640"/>
      </w:pPr>
      <w:bookmarkStart w:id="4" w:name="_Toc14920"/>
      <w:r>
        <w:rPr>
          <w:rFonts w:hint="eastAsia"/>
        </w:rPr>
        <w:t>二、</w:t>
      </w:r>
      <w:r>
        <w:rPr>
          <w:rFonts w:hint="eastAsia"/>
          <w:lang w:eastAsia="zh-CN"/>
        </w:rPr>
        <w:t>2022</w:t>
      </w:r>
      <w:r>
        <w:rPr>
          <w:rFonts w:hint="eastAsia"/>
        </w:rPr>
        <w:t>年部门预算收支及增减变化情况说明</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本单位</w:t>
      </w:r>
      <w:r>
        <w:rPr>
          <w:rFonts w:hint="eastAsia" w:ascii="仿宋" w:hAnsi="仿宋" w:eastAsia="仿宋"/>
          <w:sz w:val="32"/>
          <w:szCs w:val="32"/>
          <w:lang w:eastAsia="zh-CN"/>
        </w:rPr>
        <w:t>2022</w:t>
      </w:r>
      <w:r>
        <w:rPr>
          <w:rFonts w:hint="eastAsia" w:ascii="仿宋" w:hAnsi="仿宋" w:eastAsia="仿宋"/>
          <w:sz w:val="32"/>
          <w:szCs w:val="32"/>
        </w:rPr>
        <w:t>年收入支出预算785.681822元，全部为一般公共预算财政拨款，比202</w:t>
      </w:r>
      <w:r>
        <w:rPr>
          <w:rFonts w:hint="eastAsia" w:ascii="仿宋" w:hAnsi="仿宋" w:eastAsia="仿宋"/>
          <w:sz w:val="32"/>
          <w:szCs w:val="32"/>
          <w:lang w:val="en-US" w:eastAsia="zh-CN"/>
        </w:rPr>
        <w:t>1</w:t>
      </w:r>
      <w:r>
        <w:rPr>
          <w:rFonts w:hint="eastAsia" w:ascii="仿宋" w:hAnsi="仿宋" w:eastAsia="仿宋"/>
          <w:sz w:val="32"/>
          <w:szCs w:val="32"/>
        </w:rPr>
        <w:t>年收支预算7,524,040.37元</w:t>
      </w:r>
      <w:r>
        <w:rPr>
          <w:rFonts w:hint="eastAsia" w:ascii="仿宋" w:hAnsi="仿宋" w:eastAsia="仿宋"/>
          <w:sz w:val="32"/>
          <w:szCs w:val="32"/>
          <w:lang w:eastAsia="zh-CN"/>
        </w:rPr>
        <w:t>增加</w:t>
      </w:r>
      <w:r>
        <w:rPr>
          <w:rFonts w:hint="eastAsia" w:ascii="仿宋" w:hAnsi="仿宋" w:eastAsia="仿宋"/>
          <w:sz w:val="32"/>
          <w:szCs w:val="32"/>
        </w:rPr>
        <w:t>332777.85元,</w:t>
      </w:r>
      <w:r>
        <w:rPr>
          <w:rFonts w:hint="eastAsia" w:ascii="仿宋" w:hAnsi="仿宋" w:eastAsia="仿宋"/>
          <w:sz w:val="32"/>
          <w:szCs w:val="32"/>
          <w:lang w:eastAsia="zh-CN"/>
        </w:rPr>
        <w:t>增长</w:t>
      </w:r>
      <w:r>
        <w:rPr>
          <w:rFonts w:hint="eastAsia" w:ascii="仿宋" w:hAnsi="仿宋" w:eastAsia="仿宋"/>
          <w:sz w:val="32"/>
          <w:szCs w:val="32"/>
          <w:lang w:val="en-US" w:eastAsia="zh-CN"/>
        </w:rPr>
        <w:t>4.42</w:t>
      </w:r>
      <w:r>
        <w:rPr>
          <w:rFonts w:hint="eastAsia" w:ascii="仿宋" w:hAnsi="仿宋" w:eastAsia="仿宋"/>
          <w:sz w:val="32"/>
          <w:szCs w:val="32"/>
        </w:rPr>
        <w:t>%。</w:t>
      </w:r>
      <w:r>
        <w:rPr>
          <w:rFonts w:hint="eastAsia" w:ascii="仿宋" w:hAnsi="仿宋" w:eastAsia="仿宋"/>
          <w:sz w:val="32"/>
          <w:szCs w:val="32"/>
          <w:lang w:eastAsia="zh-CN"/>
        </w:rPr>
        <w:t>增加</w:t>
      </w:r>
      <w:r>
        <w:rPr>
          <w:rFonts w:hint="eastAsia" w:ascii="仿宋" w:hAnsi="仿宋" w:eastAsia="仿宋"/>
          <w:sz w:val="32"/>
          <w:szCs w:val="32"/>
        </w:rPr>
        <w:t>的主要原因是</w:t>
      </w:r>
      <w:r>
        <w:rPr>
          <w:rFonts w:hint="eastAsia" w:ascii="仿宋" w:hAnsi="仿宋" w:eastAsia="仿宋"/>
          <w:sz w:val="32"/>
          <w:szCs w:val="32"/>
          <w:lang w:eastAsia="zh-CN"/>
        </w:rPr>
        <w:t>部分人员、公用经费定额增加</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p>
    <w:p>
      <w:pPr>
        <w:pStyle w:val="3"/>
        <w:ind w:firstLine="640"/>
      </w:pPr>
      <w:bookmarkStart w:id="5" w:name="_Toc16600"/>
      <w:r>
        <w:rPr>
          <w:rFonts w:hint="eastAsia"/>
        </w:rPr>
        <w:t>三、主要支出情况</w:t>
      </w:r>
      <w:bookmarkEnd w:id="5"/>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（1）基本支出预算627.068441元，占支出预算</w:t>
      </w:r>
      <w:r>
        <w:rPr>
          <w:rFonts w:hint="eastAsia" w:ascii="仿宋" w:hAnsi="仿宋" w:eastAsia="仿宋" w:cs="仿宋_GB2312"/>
          <w:sz w:val="32"/>
          <w:szCs w:val="32"/>
          <w:lang w:eastAsia="zh-CN" w:bidi="ar"/>
        </w:rPr>
        <w:t>总额</w:t>
      </w:r>
      <w:r>
        <w:rPr>
          <w:rFonts w:hint="eastAsia" w:ascii="仿宋" w:hAnsi="仿宋" w:eastAsia="仿宋" w:cs="仿宋_GB2312"/>
          <w:sz w:val="32"/>
          <w:szCs w:val="32"/>
          <w:lang w:bidi="ar"/>
        </w:rPr>
        <w:t>的</w:t>
      </w:r>
      <w:r>
        <w:rPr>
          <w:rFonts w:hint="eastAsia" w:ascii="仿宋" w:hAnsi="仿宋" w:eastAsia="仿宋" w:cs="仿宋_GB2312"/>
          <w:sz w:val="32"/>
          <w:szCs w:val="32"/>
          <w:lang w:val="en-US" w:eastAsia="zh-CN" w:bidi="ar"/>
        </w:rPr>
        <w:t>79.81</w:t>
      </w:r>
      <w:r>
        <w:rPr>
          <w:rFonts w:hint="eastAsia" w:ascii="仿宋" w:hAnsi="仿宋" w:eastAsia="仿宋" w:cs="仿宋_GB2312"/>
          <w:sz w:val="32"/>
          <w:szCs w:val="32"/>
          <w:lang w:bidi="ar"/>
        </w:rPr>
        <w:t>%,比202</w:t>
      </w:r>
      <w:r>
        <w:rPr>
          <w:rFonts w:hint="eastAsia" w:ascii="仿宋" w:hAnsi="仿宋" w:eastAsia="仿宋" w:cs="仿宋_GB2312"/>
          <w:sz w:val="32"/>
          <w:szCs w:val="32"/>
          <w:lang w:val="en-US" w:eastAsia="zh-CN" w:bidi="ar"/>
        </w:rPr>
        <w:t>1</w:t>
      </w:r>
      <w:r>
        <w:rPr>
          <w:rFonts w:hint="eastAsia" w:ascii="仿宋" w:hAnsi="仿宋" w:eastAsia="仿宋" w:cs="仿宋_GB2312"/>
          <w:sz w:val="32"/>
          <w:szCs w:val="32"/>
          <w:lang w:bidi="ar"/>
        </w:rPr>
        <w:t>年6051418.81 元</w:t>
      </w:r>
      <w:r>
        <w:rPr>
          <w:rFonts w:hint="eastAsia" w:ascii="仿宋" w:hAnsi="仿宋" w:eastAsia="仿宋" w:cs="仿宋_GB2312"/>
          <w:sz w:val="32"/>
          <w:szCs w:val="32"/>
          <w:lang w:eastAsia="zh-CN" w:bidi="ar"/>
        </w:rPr>
        <w:t>增加219265.6</w:t>
      </w:r>
      <w:r>
        <w:rPr>
          <w:rFonts w:hint="eastAsia" w:ascii="仿宋" w:hAnsi="仿宋" w:eastAsia="仿宋" w:cs="仿宋_GB2312"/>
          <w:sz w:val="32"/>
          <w:szCs w:val="32"/>
          <w:lang w:bidi="ar"/>
        </w:rPr>
        <w:t>元，</w:t>
      </w:r>
      <w:r>
        <w:rPr>
          <w:rFonts w:hint="eastAsia" w:ascii="仿宋" w:hAnsi="仿宋" w:eastAsia="仿宋" w:cs="仿宋_GB2312"/>
          <w:sz w:val="32"/>
          <w:szCs w:val="32"/>
          <w:lang w:eastAsia="zh-CN" w:bidi="ar"/>
        </w:rPr>
        <w:t>增长</w:t>
      </w:r>
      <w:r>
        <w:rPr>
          <w:rFonts w:hint="eastAsia" w:ascii="仿宋" w:hAnsi="仿宋" w:eastAsia="仿宋" w:cs="仿宋_GB2312"/>
          <w:sz w:val="32"/>
          <w:szCs w:val="32"/>
          <w:lang w:bidi="ar"/>
        </w:rPr>
        <w:t>3.</w:t>
      </w:r>
      <w:r>
        <w:rPr>
          <w:rFonts w:hint="eastAsia" w:ascii="仿宋" w:hAnsi="仿宋" w:eastAsia="仿宋" w:cs="仿宋_GB2312"/>
          <w:sz w:val="32"/>
          <w:szCs w:val="32"/>
          <w:lang w:val="en-US" w:eastAsia="zh-CN" w:bidi="ar"/>
        </w:rPr>
        <w:t>6</w:t>
      </w:r>
      <w:r>
        <w:rPr>
          <w:rFonts w:hint="eastAsia" w:ascii="仿宋" w:hAnsi="仿宋" w:eastAsia="仿宋" w:cs="仿宋_GB2312"/>
          <w:sz w:val="32"/>
          <w:szCs w:val="32"/>
          <w:lang w:bidi="ar"/>
        </w:rPr>
        <w:t>%，主要原因是</w:t>
      </w:r>
      <w:r>
        <w:rPr>
          <w:rFonts w:hint="eastAsia" w:ascii="仿宋" w:hAnsi="仿宋" w:eastAsia="仿宋"/>
          <w:sz w:val="32"/>
          <w:szCs w:val="32"/>
          <w:lang w:eastAsia="zh-CN"/>
        </w:rPr>
        <w:t>部分人员、公用经费定额增加</w:t>
      </w:r>
      <w:r>
        <w:rPr>
          <w:rFonts w:hint="eastAsia" w:ascii="仿宋" w:hAnsi="仿宋" w:eastAsia="仿宋" w:cs="仿宋_GB2312"/>
          <w:sz w:val="32"/>
          <w:szCs w:val="32"/>
          <w:lang w:bidi="ar"/>
        </w:rPr>
        <w:t>。其中公用支出462391.91元，比202</w:t>
      </w:r>
      <w:r>
        <w:rPr>
          <w:rFonts w:hint="eastAsia" w:ascii="仿宋" w:hAnsi="仿宋" w:eastAsia="仿宋" w:cs="仿宋_GB2312"/>
          <w:sz w:val="32"/>
          <w:szCs w:val="32"/>
          <w:lang w:val="en-US" w:eastAsia="zh-CN" w:bidi="ar"/>
        </w:rPr>
        <w:t>1</w:t>
      </w:r>
      <w:r>
        <w:rPr>
          <w:rFonts w:hint="eastAsia" w:ascii="仿宋" w:hAnsi="仿宋" w:eastAsia="仿宋" w:cs="仿宋_GB2312"/>
          <w:sz w:val="32"/>
          <w:szCs w:val="32"/>
          <w:lang w:bidi="ar"/>
        </w:rPr>
        <w:t>年415280.31元</w:t>
      </w:r>
      <w:r>
        <w:rPr>
          <w:rFonts w:hint="eastAsia" w:ascii="仿宋" w:hAnsi="仿宋" w:eastAsia="仿宋" w:cs="仿宋_GB2312"/>
          <w:sz w:val="32"/>
          <w:szCs w:val="32"/>
          <w:lang w:eastAsia="zh-CN" w:bidi="ar"/>
        </w:rPr>
        <w:t>增加</w:t>
      </w:r>
      <w:r>
        <w:rPr>
          <w:rFonts w:hint="eastAsia" w:ascii="仿宋" w:hAnsi="仿宋" w:eastAsia="仿宋" w:cs="仿宋_GB2312"/>
          <w:sz w:val="32"/>
          <w:szCs w:val="32"/>
          <w:lang w:val="en-US" w:eastAsia="zh-CN" w:bidi="ar"/>
        </w:rPr>
        <w:t>47111.60</w:t>
      </w:r>
      <w:r>
        <w:rPr>
          <w:rFonts w:hint="eastAsia" w:ascii="仿宋" w:hAnsi="仿宋" w:eastAsia="仿宋" w:cs="仿宋_GB2312"/>
          <w:sz w:val="32"/>
          <w:szCs w:val="32"/>
          <w:lang w:bidi="ar"/>
        </w:rPr>
        <w:t>元，</w:t>
      </w:r>
      <w:r>
        <w:rPr>
          <w:rFonts w:hint="eastAsia" w:ascii="仿宋" w:hAnsi="仿宋" w:eastAsia="仿宋" w:cs="仿宋_GB2312"/>
          <w:sz w:val="32"/>
          <w:szCs w:val="32"/>
          <w:lang w:eastAsia="zh-CN" w:bidi="ar"/>
        </w:rPr>
        <w:t>增长</w:t>
      </w:r>
      <w:r>
        <w:rPr>
          <w:rFonts w:hint="eastAsia" w:ascii="仿宋" w:hAnsi="仿宋" w:eastAsia="仿宋" w:cs="仿宋_GB2312"/>
          <w:sz w:val="32"/>
          <w:szCs w:val="32"/>
          <w:lang w:val="en-US" w:eastAsia="zh-CN" w:bidi="ar"/>
        </w:rPr>
        <w:t>11.34</w:t>
      </w:r>
      <w:r>
        <w:rPr>
          <w:rFonts w:hint="eastAsia" w:ascii="仿宋" w:hAnsi="仿宋" w:eastAsia="仿宋" w:cs="仿宋_GB2312"/>
          <w:sz w:val="32"/>
          <w:szCs w:val="32"/>
          <w:lang w:bidi="ar"/>
        </w:rPr>
        <w:t>%，主要原因是</w:t>
      </w:r>
      <w:r>
        <w:rPr>
          <w:rFonts w:hint="eastAsia" w:ascii="仿宋" w:hAnsi="仿宋" w:eastAsia="仿宋" w:cs="仿宋_GB2312"/>
          <w:sz w:val="32"/>
          <w:szCs w:val="32"/>
          <w:lang w:eastAsia="zh-CN" w:bidi="ar"/>
        </w:rPr>
        <w:t>部分人员、</w:t>
      </w:r>
      <w:r>
        <w:rPr>
          <w:rFonts w:hint="eastAsia" w:ascii="仿宋" w:hAnsi="仿宋" w:eastAsia="仿宋"/>
          <w:sz w:val="32"/>
          <w:szCs w:val="32"/>
          <w:lang w:eastAsia="zh-CN"/>
        </w:rPr>
        <w:t>公用经费定额增加，以人员经费为基数测算的公用经费相应增加</w:t>
      </w:r>
      <w:r>
        <w:rPr>
          <w:rFonts w:hint="eastAsia" w:ascii="仿宋" w:hAnsi="仿宋" w:eastAsia="仿宋" w:cs="仿宋_GB2312"/>
          <w:sz w:val="32"/>
          <w:szCs w:val="32"/>
          <w:lang w:bidi="ar"/>
        </w:rPr>
        <w:t>。</w:t>
      </w:r>
    </w:p>
    <w:p>
      <w:pPr>
        <w:spacing w:line="560" w:lineRule="exact"/>
        <w:ind w:firstLine="640" w:firstLineChars="200"/>
        <w:rPr>
          <w:rFonts w:hint="eastAsia" w:ascii="仿宋" w:hAnsi="仿宋" w:eastAsia="仿宋" w:cs="仿宋_GB2312"/>
          <w:sz w:val="32"/>
          <w:szCs w:val="32"/>
          <w:lang w:eastAsia="zh-CN" w:bidi="ar"/>
        </w:rPr>
      </w:pPr>
      <w:r>
        <w:rPr>
          <w:rFonts w:hint="eastAsia" w:ascii="仿宋" w:hAnsi="仿宋" w:eastAsia="仿宋" w:cs="仿宋_GB2312"/>
          <w:sz w:val="32"/>
          <w:szCs w:val="32"/>
          <w:lang w:bidi="ar"/>
        </w:rPr>
        <w:t>（2）项目支出预算1586133.81元，占总支出预算的</w:t>
      </w:r>
      <w:r>
        <w:rPr>
          <w:rFonts w:hint="eastAsia" w:ascii="仿宋" w:hAnsi="仿宋" w:eastAsia="仿宋" w:cs="仿宋_GB2312"/>
          <w:sz w:val="32"/>
          <w:szCs w:val="32"/>
          <w:lang w:val="en-US" w:eastAsia="zh-CN" w:bidi="ar"/>
        </w:rPr>
        <w:t>20.19</w:t>
      </w:r>
      <w:r>
        <w:rPr>
          <w:rFonts w:hint="eastAsia" w:ascii="仿宋" w:hAnsi="仿宋" w:eastAsia="仿宋" w:cs="仿宋_GB2312"/>
          <w:sz w:val="32"/>
          <w:szCs w:val="32"/>
          <w:lang w:bidi="ar"/>
        </w:rPr>
        <w:t>%。比202</w:t>
      </w:r>
      <w:r>
        <w:rPr>
          <w:rFonts w:hint="eastAsia" w:ascii="仿宋" w:hAnsi="仿宋" w:eastAsia="仿宋" w:cs="仿宋_GB2312"/>
          <w:sz w:val="32"/>
          <w:szCs w:val="32"/>
          <w:lang w:val="en-US" w:eastAsia="zh-CN" w:bidi="ar"/>
        </w:rPr>
        <w:t>1</w:t>
      </w:r>
      <w:r>
        <w:rPr>
          <w:rFonts w:hint="eastAsia" w:ascii="仿宋" w:hAnsi="仿宋" w:eastAsia="仿宋" w:cs="仿宋_GB2312"/>
          <w:sz w:val="32"/>
          <w:szCs w:val="32"/>
          <w:lang w:bidi="ar"/>
        </w:rPr>
        <w:t>年1472621.56元</w:t>
      </w:r>
      <w:r>
        <w:rPr>
          <w:rFonts w:hint="eastAsia" w:ascii="仿宋" w:hAnsi="仿宋" w:eastAsia="仿宋" w:cs="仿宋_GB2312"/>
          <w:sz w:val="32"/>
          <w:szCs w:val="32"/>
          <w:lang w:eastAsia="zh-CN" w:bidi="ar"/>
        </w:rPr>
        <w:t>增加113512.25</w:t>
      </w:r>
      <w:r>
        <w:rPr>
          <w:rFonts w:hint="eastAsia" w:ascii="仿宋" w:hAnsi="仿宋" w:eastAsia="仿宋" w:cs="仿宋_GB2312"/>
          <w:sz w:val="32"/>
          <w:szCs w:val="32"/>
          <w:lang w:bidi="ar"/>
        </w:rPr>
        <w:t>元，主要原因</w:t>
      </w:r>
      <w:r>
        <w:rPr>
          <w:rFonts w:hint="eastAsia" w:ascii="仿宋" w:hAnsi="仿宋" w:eastAsia="仿宋" w:cs="仿宋_GB2312"/>
          <w:sz w:val="32"/>
          <w:szCs w:val="32"/>
          <w:lang w:eastAsia="zh-CN" w:bidi="ar"/>
        </w:rPr>
        <w:t>增加每五年一次的红十字会员代表大会项目，应急救护知识普及项目经费有所增长，因代表大会换届在原有专兼职干部培训费基础上增加常务理事、监事培训费</w:t>
      </w:r>
      <w:r>
        <w:rPr>
          <w:rFonts w:hint="eastAsia" w:ascii="仿宋" w:hAnsi="仿宋" w:eastAsia="仿宋" w:cs="仿宋_GB2312"/>
          <w:sz w:val="32"/>
          <w:szCs w:val="32"/>
          <w:lang w:bidi="ar"/>
        </w:rPr>
        <w:t>。</w:t>
      </w:r>
      <w:r>
        <w:rPr>
          <w:rFonts w:hint="eastAsia" w:ascii="仿宋" w:hAnsi="仿宋" w:eastAsia="仿宋" w:cs="仿宋_GB2312"/>
          <w:sz w:val="32"/>
          <w:szCs w:val="32"/>
          <w:lang w:eastAsia="zh-CN" w:bidi="ar"/>
        </w:rPr>
        <w:t>2022</w:t>
      </w:r>
      <w:r>
        <w:rPr>
          <w:rFonts w:hint="eastAsia" w:ascii="仿宋" w:hAnsi="仿宋" w:eastAsia="仿宋" w:cs="仿宋_GB2312"/>
          <w:sz w:val="32"/>
          <w:szCs w:val="32"/>
          <w:lang w:bidi="ar"/>
        </w:rPr>
        <w:t>年主要项目是</w:t>
      </w:r>
      <w:r>
        <w:rPr>
          <w:rFonts w:hint="eastAsia" w:ascii="仿宋" w:hAnsi="仿宋" w:eastAsia="仿宋" w:cs="仿宋_GB2312"/>
          <w:sz w:val="32"/>
          <w:szCs w:val="32"/>
          <w:lang w:eastAsia="zh-CN" w:bidi="ar"/>
        </w:rPr>
        <w:t>：</w:t>
      </w:r>
    </w:p>
    <w:tbl>
      <w:tblPr>
        <w:tblStyle w:val="11"/>
        <w:tblW w:w="6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5"/>
        <w:gridCol w:w="391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915"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40"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红十字常务理事、监事、 专兼职干部培训费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公益文化建设经费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694640.00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红十字志愿服务活动经费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应急救护知识普及与青少年工作</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42493.81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西城区红十字会第三次会员代表大会</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1586133.81 </w:t>
            </w:r>
          </w:p>
        </w:tc>
      </w:tr>
    </w:tbl>
    <w:p>
      <w:pPr>
        <w:spacing w:line="560" w:lineRule="exact"/>
        <w:ind w:firstLine="640" w:firstLineChars="200"/>
        <w:rPr>
          <w:rFonts w:ascii="仿宋" w:hAnsi="仿宋" w:eastAsia="仿宋" w:cs="仿宋_GB2312"/>
          <w:sz w:val="32"/>
          <w:szCs w:val="32"/>
          <w:lang w:bidi="ar"/>
        </w:rPr>
      </w:pPr>
    </w:p>
    <w:p>
      <w:pPr>
        <w:pStyle w:val="3"/>
        <w:ind w:firstLine="640"/>
      </w:pPr>
      <w:bookmarkStart w:id="6" w:name="_Toc6366"/>
      <w:r>
        <w:rPr>
          <w:rFonts w:hint="eastAsia"/>
        </w:rPr>
        <w:t>四、部门“三公”经费财政拨款预算说明</w:t>
      </w:r>
      <w:bookmarkEnd w:id="6"/>
    </w:p>
    <w:p>
      <w:pPr>
        <w:pStyle w:val="4"/>
        <w:ind w:firstLine="640"/>
      </w:pPr>
      <w:bookmarkStart w:id="7" w:name="_Toc18974"/>
      <w:r>
        <w:rPr>
          <w:rFonts w:hint="eastAsia"/>
        </w:rPr>
        <w:t>（一）“三公”经费的单位范围</w:t>
      </w:r>
      <w:bookmarkEnd w:id="7"/>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北京市西城区红十字会部门预算中因公出国（境）费、公务接待费、公务用车购置及运行维护费的支出单位包括1个所属单位，即北京市西城区红十字会。</w:t>
      </w:r>
    </w:p>
    <w:p>
      <w:pPr>
        <w:pStyle w:val="4"/>
        <w:ind w:firstLine="640"/>
      </w:pPr>
      <w:bookmarkStart w:id="8" w:name="_Toc21783"/>
      <w:r>
        <w:rPr>
          <w:rFonts w:hint="eastAsia"/>
        </w:rPr>
        <w:t>（二）“三公”经费预算财政拨款情况说明</w:t>
      </w:r>
      <w:bookmarkEnd w:id="8"/>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2022</w:t>
      </w:r>
      <w:r>
        <w:rPr>
          <w:rFonts w:hint="eastAsia" w:ascii="仿宋" w:hAnsi="仿宋" w:eastAsia="仿宋" w:cs="仿宋_GB2312"/>
          <w:sz w:val="32"/>
          <w:szCs w:val="32"/>
        </w:rPr>
        <w:t>年部门预算“三公”经费财政拨款预算安排2</w:t>
      </w:r>
      <w:r>
        <w:rPr>
          <w:rFonts w:hint="eastAsia" w:ascii="仿宋" w:hAnsi="仿宋" w:eastAsia="仿宋" w:cs="仿宋_GB2312"/>
          <w:sz w:val="32"/>
          <w:szCs w:val="32"/>
          <w:lang w:val="en-US" w:eastAsia="zh-CN"/>
        </w:rPr>
        <w:t>350.66</w:t>
      </w:r>
      <w:r>
        <w:rPr>
          <w:rFonts w:hint="eastAsia" w:ascii="仿宋" w:hAnsi="仿宋" w:eastAsia="仿宋" w:cs="仿宋_GB2312"/>
          <w:sz w:val="32"/>
          <w:szCs w:val="32"/>
        </w:rPr>
        <w:t>元，其中：</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1.因公出国（境）费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2022</w:t>
      </w:r>
      <w:r>
        <w:rPr>
          <w:rFonts w:hint="eastAsia" w:ascii="仿宋" w:hAnsi="仿宋" w:eastAsia="仿宋" w:cs="仿宋_GB2312"/>
          <w:sz w:val="32"/>
          <w:szCs w:val="32"/>
        </w:rPr>
        <w:t>年财政拨款预算安排0元。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2.公务接待费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2022</w:t>
      </w:r>
      <w:r>
        <w:rPr>
          <w:rFonts w:hint="eastAsia" w:ascii="仿宋" w:hAnsi="仿宋" w:eastAsia="仿宋" w:cs="仿宋_GB2312"/>
          <w:sz w:val="32"/>
          <w:szCs w:val="32"/>
        </w:rPr>
        <w:t>年财政拨款预算安排2</w:t>
      </w:r>
      <w:r>
        <w:rPr>
          <w:rFonts w:hint="eastAsia" w:ascii="仿宋" w:hAnsi="仿宋" w:eastAsia="仿宋" w:cs="仿宋_GB2312"/>
          <w:sz w:val="32"/>
          <w:szCs w:val="32"/>
          <w:lang w:val="en-US" w:eastAsia="zh-CN"/>
        </w:rPr>
        <w:t>350.66</w:t>
      </w:r>
      <w:r>
        <w:rPr>
          <w:rFonts w:hint="eastAsia" w:ascii="仿宋" w:hAnsi="仿宋" w:eastAsia="仿宋" w:cs="仿宋_GB2312"/>
          <w:sz w:val="32"/>
          <w:szCs w:val="32"/>
        </w:rPr>
        <w:t>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3.公务用车购置及运行维护费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2022</w:t>
      </w:r>
      <w:r>
        <w:rPr>
          <w:rFonts w:hint="eastAsia" w:ascii="仿宋" w:hAnsi="仿宋" w:eastAsia="仿宋" w:cs="仿宋_GB2312"/>
          <w:sz w:val="32"/>
          <w:szCs w:val="32"/>
        </w:rPr>
        <w:t>年本单位共有募捐救助专用车7辆，财政供养的公务用车0辆，财政拨款公务用车购置费和公务用车运行维护费预算安排均为0元。</w:t>
      </w:r>
    </w:p>
    <w:p>
      <w:pPr>
        <w:pStyle w:val="4"/>
        <w:ind w:firstLine="640"/>
      </w:pPr>
      <w:bookmarkStart w:id="9" w:name="_Toc14326"/>
      <w:r>
        <w:rPr>
          <w:rFonts w:hint="eastAsia"/>
        </w:rPr>
        <w:t>（三）关于</w:t>
      </w:r>
      <w:r>
        <w:rPr>
          <w:rFonts w:hint="eastAsia"/>
          <w:lang w:eastAsia="zh-CN"/>
        </w:rPr>
        <w:t>2022</w:t>
      </w:r>
      <w:r>
        <w:rPr>
          <w:rFonts w:hint="eastAsia"/>
        </w:rPr>
        <w:t>年度部门预算中“三公”经费财政拨款预算与上年比增减情况及原因的说明</w:t>
      </w:r>
      <w:bookmarkEnd w:id="9"/>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2022</w:t>
      </w:r>
      <w:r>
        <w:rPr>
          <w:rFonts w:hint="eastAsia" w:ascii="仿宋" w:hAnsi="仿宋" w:eastAsia="仿宋" w:cs="仿宋_GB2312"/>
          <w:sz w:val="32"/>
          <w:szCs w:val="32"/>
        </w:rPr>
        <w:t>年度“三公”经费财政拨款预算比20</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年度预算减少</w:t>
      </w:r>
      <w:r>
        <w:rPr>
          <w:rFonts w:hint="eastAsia" w:ascii="仿宋" w:hAnsi="仿宋" w:eastAsia="仿宋" w:cs="仿宋_GB2312"/>
          <w:sz w:val="32"/>
          <w:szCs w:val="32"/>
          <w:lang w:val="en-US" w:eastAsia="zh-CN"/>
        </w:rPr>
        <w:t>137.57</w:t>
      </w:r>
      <w:r>
        <w:rPr>
          <w:rFonts w:hint="eastAsia" w:ascii="仿宋" w:hAnsi="仿宋" w:eastAsia="仿宋" w:cs="仿宋_GB2312"/>
          <w:sz w:val="32"/>
          <w:szCs w:val="32"/>
        </w:rPr>
        <w:t>，原因是</w:t>
      </w:r>
      <w:r>
        <w:rPr>
          <w:rFonts w:hint="eastAsia" w:ascii="仿宋" w:hAnsi="仿宋" w:eastAsia="仿宋" w:cs="仿宋_GB2312"/>
          <w:sz w:val="32"/>
          <w:szCs w:val="32"/>
          <w:lang w:eastAsia="zh-CN"/>
        </w:rPr>
        <w:t>系统自动以上年预算书与本年按</w:t>
      </w:r>
      <w:r>
        <w:rPr>
          <w:rFonts w:hint="eastAsia" w:ascii="仿宋" w:hAnsi="仿宋" w:eastAsia="仿宋" w:cs="仿宋_GB2312"/>
          <w:sz w:val="32"/>
          <w:szCs w:val="32"/>
        </w:rPr>
        <w:t>定额</w:t>
      </w:r>
      <w:r>
        <w:rPr>
          <w:rFonts w:hint="eastAsia" w:ascii="仿宋" w:hAnsi="仿宋" w:eastAsia="仿宋" w:cs="仿宋_GB2312"/>
          <w:sz w:val="32"/>
          <w:szCs w:val="32"/>
          <w:lang w:eastAsia="zh-CN"/>
        </w:rPr>
        <w:t>测算数孰低原则进行计算</w:t>
      </w:r>
      <w:r>
        <w:rPr>
          <w:rFonts w:hint="eastAsia"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p>
    <w:p>
      <w:pPr>
        <w:pStyle w:val="3"/>
        <w:ind w:firstLine="640"/>
      </w:pPr>
      <w:bookmarkStart w:id="10" w:name="_Toc9257"/>
      <w:r>
        <w:rPr>
          <w:rFonts w:hint="eastAsia"/>
        </w:rPr>
        <w:t>五、其他情况说明</w:t>
      </w:r>
      <w:bookmarkEnd w:id="10"/>
    </w:p>
    <w:p>
      <w:pPr>
        <w:pStyle w:val="4"/>
        <w:ind w:firstLine="640"/>
      </w:pPr>
      <w:bookmarkStart w:id="11" w:name="_Toc141"/>
      <w:r>
        <w:rPr>
          <w:rFonts w:hint="eastAsia"/>
        </w:rPr>
        <w:t>（一）机构运行经费说明</w:t>
      </w:r>
      <w:bookmarkEnd w:id="11"/>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2022</w:t>
      </w:r>
      <w:r>
        <w:rPr>
          <w:rFonts w:hint="eastAsia" w:ascii="仿宋" w:hAnsi="仿宋" w:eastAsia="仿宋" w:cs="仿宋_GB2312"/>
          <w:sz w:val="32"/>
          <w:szCs w:val="32"/>
        </w:rPr>
        <w:t>年本部门（含下属单位）履行一般行政事业管理职能、维持机关运行，用于一般公共预算安排的行政运行经费，合计462391.91元，比2021年415280.31元增加47111.60元，增长11.34%，主要原因是部分人员、公用经费定额增加，以人员经费为基数测算的公用经费相应增加。</w:t>
      </w:r>
    </w:p>
    <w:p>
      <w:pPr>
        <w:pStyle w:val="4"/>
        <w:ind w:firstLine="640"/>
      </w:pPr>
      <w:bookmarkStart w:id="12" w:name="_Toc10779"/>
      <w:r>
        <w:rPr>
          <w:rFonts w:hint="eastAsia"/>
        </w:rPr>
        <w:t>（二）政府采购预算说明</w:t>
      </w:r>
      <w:bookmarkEnd w:id="12"/>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2022</w:t>
      </w:r>
      <w:r>
        <w:rPr>
          <w:rFonts w:hint="eastAsia" w:ascii="仿宋" w:hAnsi="仿宋" w:eastAsia="仿宋" w:cs="仿宋_GB2312"/>
          <w:sz w:val="32"/>
          <w:szCs w:val="32"/>
        </w:rPr>
        <w:t>年涉及政府采购项目1个，红十字常务理事、监事、 专兼职干部培训费项目预算</w:t>
      </w:r>
      <w:r>
        <w:rPr>
          <w:rFonts w:hint="eastAsia" w:ascii="仿宋" w:hAnsi="仿宋" w:eastAsia="仿宋" w:cs="仿宋_GB2312"/>
          <w:sz w:val="32"/>
          <w:szCs w:val="32"/>
          <w:lang w:val="en-US" w:eastAsia="zh-CN"/>
        </w:rPr>
        <w:t>70</w:t>
      </w:r>
      <w:r>
        <w:rPr>
          <w:rFonts w:hint="eastAsia" w:ascii="仿宋" w:hAnsi="仿宋" w:eastAsia="仿宋" w:cs="仿宋_GB2312"/>
          <w:sz w:val="32"/>
          <w:szCs w:val="32"/>
        </w:rPr>
        <w:t>000.00元。</w:t>
      </w:r>
    </w:p>
    <w:p>
      <w:pPr>
        <w:pStyle w:val="4"/>
        <w:ind w:firstLine="640"/>
      </w:pPr>
      <w:bookmarkStart w:id="13" w:name="_Toc19507"/>
      <w:r>
        <w:rPr>
          <w:rFonts w:hint="eastAsia"/>
        </w:rPr>
        <w:t>（三）政府购买服务预算说明</w:t>
      </w:r>
      <w:bookmarkEnd w:id="13"/>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2022</w:t>
      </w:r>
      <w:r>
        <w:rPr>
          <w:rFonts w:hint="eastAsia" w:ascii="仿宋" w:hAnsi="仿宋" w:eastAsia="仿宋" w:cs="仿宋_GB2312"/>
          <w:sz w:val="32"/>
          <w:szCs w:val="32"/>
        </w:rPr>
        <w:t>年涉及政府购买服务项目0个，无预算资金安排。</w:t>
      </w:r>
    </w:p>
    <w:p>
      <w:pPr>
        <w:pStyle w:val="4"/>
        <w:ind w:firstLine="640"/>
      </w:pPr>
      <w:bookmarkStart w:id="14" w:name="_Toc14547"/>
      <w:r>
        <w:rPr>
          <w:rFonts w:hint="eastAsia"/>
        </w:rPr>
        <w:t>（四）绩效目标情况及绩效评价结果说明</w:t>
      </w:r>
      <w:bookmarkEnd w:id="14"/>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年聘请会计师事务所对20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年部门</w:t>
      </w:r>
      <w:r>
        <w:rPr>
          <w:rFonts w:hint="eastAsia" w:ascii="仿宋_GB2312" w:hAnsi="仿宋" w:eastAsia="仿宋_GB2312"/>
          <w:sz w:val="32"/>
          <w:szCs w:val="32"/>
          <w:lang w:eastAsia="zh-CN"/>
        </w:rPr>
        <w:t>整体预算进行</w:t>
      </w:r>
      <w:r>
        <w:rPr>
          <w:rFonts w:hint="eastAsia" w:ascii="仿宋_GB2312" w:hAnsi="仿宋" w:eastAsia="仿宋_GB2312"/>
          <w:sz w:val="32"/>
          <w:szCs w:val="32"/>
        </w:rPr>
        <w:t>绩效自评，绩效级别评定为“良好”。发现的主要问题有：部门整体绩效目标和项目的产出指标、效果指标的设定不够合理明确，量化指标不足</w:t>
      </w:r>
      <w:r>
        <w:rPr>
          <w:rFonts w:hint="eastAsia" w:ascii="仿宋_GB2312" w:hAnsi="仿宋" w:eastAsia="仿宋_GB2312"/>
          <w:sz w:val="32"/>
          <w:szCs w:val="32"/>
          <w:lang w:eastAsia="zh-CN"/>
        </w:rPr>
        <w:t>；部分项目预算编制依据不够充分、细化；项目管理过程不够严谨；部分重点项目未对服务对象满意度调查问卷进行统计分析并根据分析结果制订改进措施；绩效成果资料归集不完整</w:t>
      </w:r>
      <w:r>
        <w:rPr>
          <w:rFonts w:hint="eastAsia" w:ascii="仿宋_GB2312" w:hAnsi="仿宋" w:eastAsia="仿宋_GB2312"/>
          <w:sz w:val="32"/>
          <w:szCs w:val="32"/>
        </w:rPr>
        <w:t>。提出的改进意见一是优化整体绩效目标和重点项目目标的设定，整体绩效目标的设置应该结合单位职能、中长期规划和年度工作计划，明确年度主要工作任务、预计单位在本年度内履职所要达到的总体产出和效果</w:t>
      </w:r>
      <w:r>
        <w:rPr>
          <w:rFonts w:hint="eastAsia" w:ascii="仿宋_GB2312" w:hAnsi="仿宋" w:eastAsia="仿宋_GB2312"/>
          <w:sz w:val="32"/>
          <w:szCs w:val="32"/>
          <w:lang w:eastAsia="zh-CN"/>
        </w:rPr>
        <w:t>；</w:t>
      </w:r>
      <w:r>
        <w:rPr>
          <w:rFonts w:hint="eastAsia" w:ascii="仿宋_GB2312" w:hAnsi="仿宋" w:eastAsia="仿宋_GB2312"/>
          <w:sz w:val="32"/>
          <w:szCs w:val="32"/>
        </w:rPr>
        <w:t>二是提高部门整体和项目预算编制科学与准确性</w:t>
      </w:r>
      <w:r>
        <w:rPr>
          <w:rFonts w:hint="eastAsia" w:ascii="仿宋_GB2312" w:hAnsi="仿宋" w:eastAsia="仿宋_GB2312"/>
          <w:sz w:val="32"/>
          <w:szCs w:val="32"/>
          <w:lang w:eastAsia="zh-CN"/>
        </w:rPr>
        <w:t>；</w:t>
      </w:r>
      <w:r>
        <w:rPr>
          <w:rFonts w:hint="eastAsia" w:ascii="仿宋_GB2312" w:hAnsi="仿宋" w:eastAsia="仿宋_GB2312"/>
          <w:sz w:val="32"/>
          <w:szCs w:val="32"/>
        </w:rPr>
        <w:t>三是加强重点项目的监督管理、质量控制办法、考核验收办法，并根据工作实际，细化项目管理办法</w:t>
      </w:r>
      <w:r>
        <w:rPr>
          <w:rFonts w:hint="eastAsia" w:ascii="仿宋_GB2312" w:hAnsi="仿宋" w:eastAsia="仿宋_GB2312"/>
          <w:sz w:val="32"/>
          <w:szCs w:val="32"/>
          <w:lang w:eastAsia="zh-CN"/>
        </w:rPr>
        <w:t>；四是进一步提高部门管理的规范性，制订有效的项目实施方案，并定期对内控制度进行风险评估，并根据评估结果对相关内控制度进行修订；五是客观设置服务满意度评价指标，满意度调查的对象瞄准度应精确细化，应分项目类别分别进行调查，重点项目都应有服务对象满意度调查；六是绩效支撑材料应该完整且有序并充分提交，尤其是重点项目</w:t>
      </w:r>
      <w:r>
        <w:rPr>
          <w:rFonts w:hint="eastAsia" w:ascii="仿宋_GB2312" w:hAnsi="仿宋" w:eastAsia="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w:t>
      </w:r>
      <w:r>
        <w:rPr>
          <w:rFonts w:hint="eastAsia" w:ascii="仿宋" w:hAnsi="仿宋" w:eastAsia="仿宋" w:cs="仿宋_GB2312"/>
          <w:sz w:val="32"/>
          <w:szCs w:val="32"/>
          <w:lang w:eastAsia="zh-CN"/>
        </w:rPr>
        <w:t>2022</w:t>
      </w:r>
      <w:r>
        <w:rPr>
          <w:rFonts w:hint="eastAsia" w:ascii="仿宋" w:hAnsi="仿宋" w:eastAsia="仿宋" w:cs="仿宋_GB2312"/>
          <w:sz w:val="32"/>
          <w:szCs w:val="32"/>
        </w:rPr>
        <w:t>年无100万元以上绩效考评项目，</w:t>
      </w:r>
      <w:r>
        <w:rPr>
          <w:rFonts w:hint="eastAsia" w:ascii="仿宋" w:hAnsi="仿宋" w:eastAsia="仿宋" w:cs="仿宋_GB2312"/>
          <w:sz w:val="32"/>
          <w:szCs w:val="32"/>
          <w:lang w:eastAsia="zh-CN"/>
        </w:rPr>
        <w:t>2022</w:t>
      </w:r>
      <w:r>
        <w:rPr>
          <w:rFonts w:hint="eastAsia" w:ascii="仿宋" w:hAnsi="仿宋" w:eastAsia="仿宋" w:cs="仿宋_GB2312"/>
          <w:sz w:val="32"/>
          <w:szCs w:val="32"/>
        </w:rPr>
        <w:t>年部门整体绩效目标见附表。</w:t>
      </w:r>
    </w:p>
    <w:p>
      <w:pPr>
        <w:pStyle w:val="4"/>
        <w:ind w:firstLine="640"/>
        <w:rPr>
          <w:rFonts w:hint="eastAsia"/>
        </w:rPr>
      </w:pPr>
      <w:bookmarkStart w:id="15" w:name="_Toc11430"/>
      <w:r>
        <w:rPr>
          <w:rFonts w:hint="eastAsia"/>
        </w:rPr>
        <w:t>（五）国有资本经营预算财政拨款情况说明</w:t>
      </w:r>
      <w:bookmarkEnd w:id="15"/>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本单位</w:t>
      </w:r>
      <w:r>
        <w:rPr>
          <w:rFonts w:hint="eastAsia" w:ascii="仿宋_GB2312" w:hAnsi="仿宋" w:eastAsia="仿宋_GB2312"/>
          <w:sz w:val="32"/>
          <w:szCs w:val="32"/>
        </w:rPr>
        <w:t>无</w:t>
      </w:r>
      <w:r>
        <w:rPr>
          <w:rFonts w:hint="eastAsia" w:ascii="仿宋_GB2312" w:hAnsi="仿宋" w:eastAsia="仿宋_GB2312"/>
          <w:sz w:val="32"/>
          <w:szCs w:val="32"/>
          <w:lang w:eastAsia="zh-CN"/>
        </w:rPr>
        <w:t>此类预算。</w:t>
      </w:r>
    </w:p>
    <w:p>
      <w:pPr>
        <w:pStyle w:val="4"/>
        <w:ind w:firstLine="640"/>
        <w:rPr>
          <w:rFonts w:hint="eastAsia"/>
        </w:rPr>
      </w:pPr>
      <w:bookmarkStart w:id="16" w:name="_Toc19656"/>
      <w:r>
        <w:rPr>
          <w:rFonts w:hint="eastAsia"/>
        </w:rPr>
        <w:t>（六）国有资产占用情况说明</w:t>
      </w:r>
      <w:bookmarkEnd w:id="16"/>
    </w:p>
    <w:p>
      <w:pPr>
        <w:ind w:firstLine="640" w:firstLineChars="200"/>
        <w:rPr>
          <w:rFonts w:ascii="仿宋" w:hAnsi="仿宋" w:eastAsia="仿宋"/>
          <w:sz w:val="32"/>
          <w:szCs w:val="32"/>
        </w:rPr>
      </w:pPr>
      <w:r>
        <w:rPr>
          <w:rFonts w:hint="eastAsia" w:ascii="仿宋_GB2312" w:hAnsi="仿宋" w:eastAsia="仿宋_GB2312"/>
          <w:sz w:val="32"/>
          <w:szCs w:val="32"/>
        </w:rPr>
        <w:t>截止202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年底，本部门固定资产原值</w:t>
      </w:r>
      <w:r>
        <w:rPr>
          <w:rFonts w:hint="eastAsia" w:ascii="仿宋_GB2312" w:hAnsi="仿宋" w:eastAsia="仿宋_GB2312"/>
          <w:sz w:val="32"/>
          <w:szCs w:val="32"/>
          <w:lang w:val="en-US" w:eastAsia="zh-CN"/>
        </w:rPr>
        <w:t>200.80万</w:t>
      </w:r>
      <w:r>
        <w:rPr>
          <w:rFonts w:hint="eastAsia" w:ascii="仿宋_GB2312" w:hAnsi="仿宋" w:eastAsia="仿宋_GB2312"/>
          <w:sz w:val="32"/>
          <w:szCs w:val="32"/>
        </w:rPr>
        <w:t>元，固定资产累计折旧</w:t>
      </w:r>
      <w:r>
        <w:rPr>
          <w:rFonts w:hint="eastAsia" w:ascii="仿宋_GB2312" w:hAnsi="仿宋" w:eastAsia="仿宋_GB2312"/>
          <w:sz w:val="32"/>
          <w:szCs w:val="32"/>
          <w:lang w:val="en-US" w:eastAsia="zh-CN"/>
        </w:rPr>
        <w:t>157.83</w:t>
      </w:r>
      <w:r>
        <w:rPr>
          <w:rFonts w:hint="eastAsia" w:ascii="仿宋_GB2312" w:hAnsi="仿宋" w:eastAsia="仿宋_GB2312"/>
          <w:sz w:val="32"/>
          <w:szCs w:val="32"/>
        </w:rPr>
        <w:t>元,固定资产净值</w:t>
      </w:r>
      <w:r>
        <w:rPr>
          <w:rFonts w:hint="eastAsia" w:ascii="仿宋_GB2312" w:hAnsi="仿宋" w:eastAsia="仿宋_GB2312"/>
          <w:sz w:val="32"/>
          <w:szCs w:val="32"/>
          <w:lang w:val="en-US" w:eastAsia="zh-CN"/>
        </w:rPr>
        <w:t>42.97万</w:t>
      </w:r>
      <w:r>
        <w:rPr>
          <w:rFonts w:hint="eastAsia" w:ascii="仿宋_GB2312" w:hAnsi="仿宋" w:eastAsia="仿宋_GB2312"/>
          <w:sz w:val="32"/>
          <w:szCs w:val="32"/>
        </w:rPr>
        <w:t>元,其中：车辆</w:t>
      </w:r>
      <w:r>
        <w:rPr>
          <w:rFonts w:hint="eastAsia" w:ascii="仿宋_GB2312" w:hAnsi="仿宋" w:eastAsia="仿宋_GB2312"/>
          <w:sz w:val="32"/>
          <w:szCs w:val="32"/>
          <w:lang w:val="en-US" w:eastAsia="zh-CN"/>
        </w:rPr>
        <w:t>4</w:t>
      </w:r>
      <w:r>
        <w:rPr>
          <w:rFonts w:hint="eastAsia" w:ascii="仿宋_GB2312" w:hAnsi="仿宋" w:eastAsia="仿宋_GB2312"/>
          <w:sz w:val="32"/>
          <w:szCs w:val="32"/>
        </w:rPr>
        <w:t>台，原值</w:t>
      </w:r>
      <w:r>
        <w:rPr>
          <w:rFonts w:hint="eastAsia" w:ascii="仿宋_GB2312" w:hAnsi="仿宋" w:eastAsia="仿宋_GB2312"/>
          <w:sz w:val="32"/>
          <w:szCs w:val="32"/>
          <w:lang w:val="en-US" w:eastAsia="zh-CN"/>
        </w:rPr>
        <w:t>153000</w:t>
      </w:r>
      <w:r>
        <w:rPr>
          <w:rFonts w:hint="eastAsia" w:ascii="仿宋_GB2312" w:hAnsi="仿宋" w:eastAsia="仿宋_GB2312"/>
          <w:sz w:val="32"/>
          <w:szCs w:val="32"/>
        </w:rPr>
        <w:t>元，累计折旧</w:t>
      </w:r>
      <w:r>
        <w:rPr>
          <w:rFonts w:hint="eastAsia" w:ascii="仿宋_GB2312" w:hAnsi="仿宋" w:eastAsia="仿宋_GB2312"/>
          <w:sz w:val="32"/>
          <w:szCs w:val="32"/>
          <w:lang w:val="en-US" w:eastAsia="zh-CN"/>
        </w:rPr>
        <w:t>153000</w:t>
      </w:r>
      <w:r>
        <w:rPr>
          <w:rFonts w:hint="eastAsia" w:ascii="仿宋_GB2312" w:hAnsi="仿宋" w:eastAsia="仿宋_GB2312"/>
          <w:sz w:val="32"/>
          <w:szCs w:val="32"/>
        </w:rPr>
        <w:t>，为市红十字会划拨的募捐救助用车，属非财政供养车辆；单位价值50万元以上的通用设备0台</w:t>
      </w:r>
      <w:r>
        <w:rPr>
          <w:rFonts w:hint="eastAsia" w:ascii="仿宋" w:hAnsi="仿宋" w:eastAsia="仿宋"/>
          <w:sz w:val="32"/>
          <w:szCs w:val="32"/>
        </w:rPr>
        <w:t>(套),0元;单位价值100万元以上的专用设备0台(套),0元。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2022</w:t>
      </w:r>
      <w:r>
        <w:rPr>
          <w:rFonts w:hint="eastAsia" w:ascii="仿宋" w:hAnsi="仿宋" w:eastAsia="仿宋" w:cs="仿宋_GB2312"/>
          <w:sz w:val="32"/>
          <w:szCs w:val="32"/>
        </w:rPr>
        <w:t>年部门预算:安排购置车辆0台,0元, 安排购置单位价值50万元以上的通用设备0台(套),0元;单位价值100万元以上的专用设备0台(套),0元。</w:t>
      </w:r>
    </w:p>
    <w:p>
      <w:pPr>
        <w:spacing w:line="560" w:lineRule="exact"/>
        <w:ind w:firstLine="640" w:firstLineChars="200"/>
        <w:rPr>
          <w:rFonts w:ascii="仿宋" w:hAnsi="仿宋" w:eastAsia="仿宋" w:cs="仿宋_GB2312"/>
          <w:sz w:val="32"/>
          <w:szCs w:val="32"/>
        </w:rPr>
      </w:pPr>
    </w:p>
    <w:p>
      <w:pPr>
        <w:pStyle w:val="3"/>
        <w:ind w:firstLine="640"/>
      </w:pPr>
      <w:bookmarkStart w:id="17" w:name="_Toc16263"/>
      <w:r>
        <w:rPr>
          <w:rFonts w:hint="eastAsia"/>
        </w:rPr>
        <w:t>六、名词解释</w:t>
      </w:r>
      <w:bookmarkEnd w:id="17"/>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ascii="黑体" w:hAnsi="黑体"/>
          <w:sz w:val="36"/>
          <w:szCs w:val="36"/>
        </w:rPr>
      </w:pPr>
      <w:r>
        <w:rPr>
          <w:rFonts w:hint="eastAsia" w:ascii="仿宋" w:hAnsi="仿宋" w:eastAsia="仿宋" w:cs="仿宋_GB2312"/>
          <w:sz w:val="32"/>
          <w:szCs w:val="32"/>
          <w:lang w:bidi="ar"/>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rFonts w:hint="eastAsia" w:ascii="黑体" w:hAnsi="黑体"/>
          <w:b w:val="0"/>
          <w:sz w:val="36"/>
          <w:szCs w:val="36"/>
        </w:rPr>
      </w:pPr>
    </w:p>
    <w:p>
      <w:pPr>
        <w:rPr>
          <w:rFonts w:hint="eastAsia" w:ascii="黑体" w:hAnsi="黑体"/>
          <w:b w:val="0"/>
          <w:sz w:val="36"/>
          <w:szCs w:val="36"/>
        </w:rPr>
      </w:pPr>
      <w:r>
        <w:rPr>
          <w:rFonts w:hint="eastAsia" w:ascii="黑体" w:hAnsi="黑体"/>
          <w:b w:val="0"/>
          <w:sz w:val="36"/>
          <w:szCs w:val="36"/>
        </w:rPr>
        <w:br w:type="page"/>
      </w:r>
    </w:p>
    <w:p>
      <w:pPr>
        <w:pStyle w:val="2"/>
        <w:rPr>
          <w:rFonts w:ascii="黑体" w:hAnsi="黑体"/>
          <w:b w:val="0"/>
          <w:sz w:val="36"/>
          <w:szCs w:val="36"/>
        </w:rPr>
      </w:pPr>
      <w:bookmarkStart w:id="18" w:name="_Toc23559"/>
      <w:r>
        <w:rPr>
          <w:rFonts w:hint="eastAsia" w:ascii="黑体" w:hAnsi="黑体"/>
          <w:b w:val="0"/>
          <w:sz w:val="36"/>
          <w:szCs w:val="36"/>
        </w:rPr>
        <w:t xml:space="preserve">第二部分  </w:t>
      </w:r>
      <w:r>
        <w:rPr>
          <w:rFonts w:hint="eastAsia" w:ascii="黑体" w:hAnsi="黑体"/>
          <w:b w:val="0"/>
          <w:sz w:val="36"/>
          <w:szCs w:val="36"/>
          <w:lang w:eastAsia="zh-CN"/>
        </w:rPr>
        <w:t>2022</w:t>
      </w:r>
      <w:r>
        <w:rPr>
          <w:rFonts w:hint="eastAsia" w:ascii="黑体" w:hAnsi="黑体"/>
          <w:b w:val="0"/>
          <w:sz w:val="36"/>
          <w:szCs w:val="36"/>
        </w:rPr>
        <w:t>年部门预算表</w:t>
      </w:r>
      <w:bookmarkEnd w:id="18"/>
    </w:p>
    <w:p>
      <w:pPr>
        <w:pStyle w:val="4"/>
        <w:ind w:firstLine="0" w:firstLineChars="0"/>
        <w:rPr>
          <w:b/>
          <w:bCs w:val="0"/>
        </w:rPr>
      </w:pPr>
    </w:p>
    <w:p>
      <w:pPr>
        <w:pStyle w:val="4"/>
        <w:ind w:firstLine="0" w:firstLineChars="0"/>
        <w:jc w:val="center"/>
        <w:rPr>
          <w:rFonts w:hint="eastAsia" w:ascii="黑体" w:hAnsi="黑体" w:eastAsia="黑体" w:cs="黑体"/>
          <w:b w:val="0"/>
          <w:bCs/>
        </w:rPr>
      </w:pPr>
      <w:bookmarkStart w:id="19" w:name="_Toc7611"/>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01表 </w:t>
      </w:r>
      <w:r>
        <w:rPr>
          <w:rFonts w:hint="eastAsia" w:ascii="黑体" w:hAnsi="黑体" w:eastAsia="黑体" w:cs="黑体"/>
          <w:b w:val="0"/>
          <w:bCs/>
        </w:rPr>
        <w:t>收支总表</w:t>
      </w:r>
      <w:bookmarkEnd w:id="19"/>
    </w:p>
    <w:p/>
    <w:p>
      <w:p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object>
          <v:shape id="_x0000_i1025" o:spt="75" type="#_x0000_t75" style="height:544pt;width:415.1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pPr>
        <w:pStyle w:val="4"/>
        <w:ind w:firstLine="0" w:firstLineChars="0"/>
        <w:jc w:val="center"/>
        <w:rPr>
          <w:rFonts w:hint="eastAsia" w:ascii="黑体" w:hAnsi="黑体" w:eastAsia="黑体" w:cs="黑体"/>
          <w:b w:val="0"/>
          <w:bCs/>
          <w:lang w:eastAsia="zh-CN"/>
        </w:rPr>
      </w:pPr>
      <w:bookmarkStart w:id="20" w:name="_Toc29363"/>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02表 </w:t>
      </w:r>
      <w:r>
        <w:rPr>
          <w:rFonts w:hint="eastAsia" w:ascii="黑体" w:hAnsi="黑体" w:eastAsia="黑体" w:cs="黑体"/>
          <w:b w:val="0"/>
          <w:bCs/>
          <w:lang w:eastAsia="zh-CN"/>
        </w:rPr>
        <w:t>收入总表</w:t>
      </w:r>
      <w:bookmarkEnd w:id="20"/>
    </w:p>
    <w:p>
      <w:pPr>
        <w:jc w:val="center"/>
      </w:pPr>
      <w:r>
        <w:rPr>
          <w:b/>
          <w:bCs w:val="0"/>
        </w:rPr>
        <w:pict>
          <v:shape id="_x0000_s1026" o:spid="_x0000_s1026" o:spt="75" type="#_x0000_t75" style="position:absolute;left:0pt;margin-left:-3pt;margin-top:30.5pt;height:60.25pt;width:696.75pt;mso-wrap-distance-bottom:0pt;mso-wrap-distance-left:9pt;mso-wrap-distance-right:9pt;mso-wrap-distance-top:0pt;z-index:251658240;mso-width-relative:page;mso-height-relative:page;" o:ole="t" filled="f" o:preferrelative="t" stroked="f" coordsize="21600,21600">
            <v:path/>
            <v:fill on="f" focussize="0,0"/>
            <v:stroke on="f"/>
            <v:imagedata r:id="rId9" o:title=""/>
            <o:lock v:ext="edit" aspectratio="f"/>
            <w10:wrap type="square"/>
          </v:shape>
          <o:OLEObject Type="Embed" ProgID="Excel.Sheet.12" ShapeID="_x0000_s1026" DrawAspect="Content" ObjectID="_1468075726" r:id="rId8">
            <o:LockedField>false</o:LockedField>
          </o:OLEObject>
        </w:pict>
      </w:r>
    </w:p>
    <w:p>
      <w:pPr>
        <w:pStyle w:val="4"/>
        <w:ind w:firstLine="0" w:firstLineChars="0"/>
        <w:jc w:val="center"/>
        <w:rPr>
          <w:b/>
          <w:bCs w:val="0"/>
        </w:rPr>
      </w:pPr>
    </w:p>
    <w:p>
      <w:pPr>
        <w:rPr>
          <w:b/>
        </w:rPr>
      </w:pPr>
    </w:p>
    <w:p>
      <w:pPr>
        <w:rPr>
          <w:b/>
        </w:rPr>
      </w:pPr>
    </w:p>
    <w:p>
      <w:pPr>
        <w:rPr>
          <w:b/>
        </w:rPr>
      </w:pPr>
    </w:p>
    <w:p>
      <w:pPr>
        <w:rPr>
          <w:b/>
        </w:rPr>
      </w:pPr>
    </w:p>
    <w:p>
      <w:pPr>
        <w:rPr>
          <w:rFonts w:hint="eastAsia"/>
          <w:b/>
          <w:bCs w:val="0"/>
        </w:rPr>
      </w:pPr>
      <w:r>
        <w:rPr>
          <w:rFonts w:hint="eastAsia"/>
          <w:b/>
          <w:bCs w:val="0"/>
        </w:rPr>
        <w:br w:type="page"/>
      </w:r>
    </w:p>
    <w:p>
      <w:pPr>
        <w:pStyle w:val="4"/>
        <w:ind w:firstLine="0" w:firstLineChars="0"/>
        <w:jc w:val="center"/>
        <w:rPr>
          <w:rFonts w:hint="eastAsia" w:ascii="黑体" w:hAnsi="黑体" w:eastAsia="黑体" w:cs="黑体"/>
          <w:b w:val="0"/>
          <w:bCs/>
          <w:lang w:eastAsia="zh-CN"/>
        </w:rPr>
        <w:sectPr>
          <w:pgSz w:w="16838" w:h="11906" w:orient="landscape"/>
          <w:pgMar w:top="1797" w:right="1440" w:bottom="1797" w:left="1440" w:header="851" w:footer="992" w:gutter="0"/>
          <w:cols w:space="425" w:num="1"/>
          <w:docGrid w:type="linesAndChars" w:linePitch="312" w:charSpace="0"/>
        </w:sectPr>
      </w:pPr>
      <w:bookmarkStart w:id="21" w:name="_Toc18050"/>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03表 </w:t>
      </w:r>
      <w:r>
        <w:rPr>
          <w:rFonts w:hint="eastAsia" w:ascii="黑体" w:hAnsi="黑体" w:eastAsia="黑体" w:cs="黑体"/>
          <w:b w:val="0"/>
          <w:bCs/>
          <w:lang w:eastAsia="zh-CN"/>
        </w:rPr>
        <w:t>支出预算总表</w:t>
      </w:r>
      <w:r>
        <w:rPr>
          <w:rFonts w:hint="eastAsia" w:ascii="黑体" w:hAnsi="黑体" w:eastAsia="黑体" w:cs="黑体"/>
          <w:b w:val="0"/>
          <w:bCs/>
          <w:lang w:eastAsia="zh-CN"/>
        </w:rPr>
        <w:br w:type="page"/>
      </w:r>
      <w:r>
        <w:rPr>
          <w:rFonts w:hint="eastAsia" w:ascii="黑体" w:hAnsi="黑体" w:eastAsia="黑体" w:cs="黑体"/>
          <w:b w:val="0"/>
          <w:bCs/>
          <w:lang w:eastAsia="zh-CN"/>
        </w:rPr>
        <w:pict>
          <v:shape id="_x0000_s1029" o:spid="_x0000_s1029" o:spt="75" type="#_x0000_t75" style="position:absolute;left:0pt;margin-left:5.65pt;margin-top:41.4pt;height:367.1pt;width:676.1pt;mso-wrap-distance-bottom:0pt;mso-wrap-distance-left:9pt;mso-wrap-distance-right:9pt;mso-wrap-distance-top:0pt;z-index:251658240;mso-width-relative:page;mso-height-relative:page;" o:ole="t" filled="f" o:preferrelative="t" stroked="f" coordsize="21600,21600">
            <v:path/>
            <v:fill on="f" focussize="0,0"/>
            <v:stroke on="f"/>
            <v:imagedata r:id="rId11" o:title=""/>
            <o:lock v:ext="edit" aspectratio="f"/>
            <w10:wrap type="square"/>
          </v:shape>
          <o:OLEObject Type="Embed" ProgID="Excel.Sheet.12" ShapeID="_x0000_s1029" DrawAspect="Content" ObjectID="_1468075727" r:id="rId10">
            <o:LockedField>false</o:LockedField>
          </o:OLEObject>
        </w:pict>
      </w:r>
      <w:bookmarkEnd w:id="21"/>
    </w:p>
    <w:p>
      <w:pPr>
        <w:pStyle w:val="4"/>
        <w:ind w:firstLine="0" w:firstLineChars="0"/>
        <w:jc w:val="center"/>
        <w:rPr>
          <w:rFonts w:hint="eastAsia" w:ascii="黑体" w:hAnsi="黑体" w:eastAsia="黑体" w:cs="黑体"/>
          <w:b w:val="0"/>
          <w:bCs/>
          <w:lang w:eastAsia="zh-CN"/>
        </w:rPr>
      </w:pPr>
      <w:bookmarkStart w:id="22" w:name="_Toc12322"/>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04表 </w:t>
      </w:r>
      <w:r>
        <w:rPr>
          <w:rFonts w:hint="eastAsia" w:ascii="黑体" w:hAnsi="黑体" w:eastAsia="黑体" w:cs="黑体"/>
          <w:b w:val="0"/>
          <w:bCs/>
          <w:lang w:eastAsia="zh-CN"/>
        </w:rPr>
        <w:t>项目支出表</w:t>
      </w:r>
      <w:bookmarkEnd w:id="22"/>
    </w:p>
    <w:p>
      <w:pPr>
        <w:rPr>
          <w:rFonts w:hint="eastAsia"/>
          <w:b/>
          <w:bCs w:val="0"/>
          <w:lang w:eastAsia="zh-CN"/>
        </w:rPr>
      </w:pPr>
    </w:p>
    <w:p>
      <w:pPr>
        <w:rPr>
          <w:rFonts w:hint="eastAsia"/>
          <w:b/>
          <w:bCs w:val="0"/>
          <w:lang w:eastAsia="zh-CN"/>
        </w:rPr>
        <w:sectPr>
          <w:pgSz w:w="16838" w:h="11906" w:orient="landscape"/>
          <w:pgMar w:top="1797" w:right="1440" w:bottom="1797" w:left="1440" w:header="851" w:footer="992" w:gutter="0"/>
          <w:paperSrc/>
          <w:cols w:space="0" w:num="1"/>
          <w:rtlGutter w:val="0"/>
          <w:docGrid w:type="lines" w:linePitch="319" w:charSpace="0"/>
        </w:sectPr>
      </w:pPr>
      <w:r>
        <w:rPr>
          <w:rFonts w:hint="eastAsia"/>
          <w:b/>
          <w:bCs w:val="0"/>
          <w:lang w:eastAsia="zh-CN"/>
        </w:rPr>
        <w:object>
          <v:shape id="_x0000_i1028" o:spt="75" type="#_x0000_t75" style="height:127.35pt;width:696.8pt;" o:ole="t" filled="f" o:preferrelative="t" stroked="f" coordsize="21600,21600">
            <v:path/>
            <v:fill on="f" focussize="0,0"/>
            <v:stroke on="f"/>
            <v:imagedata r:id="rId13" o:title=""/>
            <o:lock v:ext="edit" aspectratio="f"/>
            <w10:wrap type="none"/>
            <w10:anchorlock/>
          </v:shape>
          <o:OLEObject Type="Embed" ProgID="Excel.Sheet.12" ShapeID="_x0000_i1028" DrawAspect="Content" ObjectID="_1468075728" r:id="rId12">
            <o:LockedField>false</o:LockedField>
          </o:OLEObject>
        </w:object>
      </w:r>
    </w:p>
    <w:p>
      <w:pPr>
        <w:pStyle w:val="4"/>
        <w:ind w:firstLine="0" w:firstLineChars="0"/>
        <w:jc w:val="center"/>
        <w:rPr>
          <w:rFonts w:hint="eastAsia" w:ascii="黑体" w:hAnsi="黑体" w:eastAsia="黑体" w:cs="黑体"/>
          <w:b w:val="0"/>
          <w:bCs/>
          <w:lang w:eastAsia="zh-CN"/>
        </w:rPr>
      </w:pPr>
      <w:bookmarkStart w:id="23" w:name="_Toc27781"/>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05表 </w:t>
      </w:r>
      <w:r>
        <w:rPr>
          <w:rFonts w:hint="eastAsia" w:ascii="黑体" w:hAnsi="黑体" w:eastAsia="黑体" w:cs="黑体"/>
          <w:b w:val="0"/>
          <w:bCs/>
          <w:lang w:eastAsia="zh-CN"/>
        </w:rPr>
        <w:t>财政拨款收支预算总表</w:t>
      </w:r>
      <w:bookmarkEnd w:id="23"/>
    </w:p>
    <w:p/>
    <w:p>
      <w:r>
        <w:object>
          <v:shape id="_x0000_i1026" o:spt="75" type="#_x0000_t75" style="height:623.15pt;width:413.05pt;" o:ole="t" filled="f" o:preferrelative="t" stroked="f" coordsize="21600,21600">
            <v:path/>
            <v:fill on="f" focussize="0,0"/>
            <v:stroke on="f"/>
            <v:imagedata r:id="rId15" o:title=""/>
            <o:lock v:ext="edit" aspectratio="f"/>
            <w10:wrap type="none"/>
            <w10:anchorlock/>
          </v:shape>
          <o:OLEObject Type="Embed" ProgID="Excel.Sheet.12" ShapeID="_x0000_i1026" DrawAspect="Content" ObjectID="_1468075729" r:id="rId14">
            <o:LockedField>false</o:LockedField>
          </o:OLEObject>
        </w:object>
      </w:r>
    </w:p>
    <w:p/>
    <w:p>
      <w:pPr>
        <w:pStyle w:val="4"/>
        <w:ind w:firstLine="0" w:firstLineChars="0"/>
        <w:jc w:val="center"/>
        <w:rPr>
          <w:rFonts w:hint="eastAsia" w:ascii="黑体" w:hAnsi="黑体" w:eastAsia="黑体" w:cs="黑体"/>
          <w:b w:val="0"/>
          <w:bCs/>
          <w:lang w:eastAsia="zh-CN"/>
        </w:rPr>
      </w:pPr>
      <w:bookmarkStart w:id="24" w:name="_Toc4679"/>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06表 </w:t>
      </w:r>
      <w:r>
        <w:rPr>
          <w:rFonts w:hint="eastAsia" w:ascii="黑体" w:hAnsi="黑体" w:eastAsia="黑体" w:cs="黑体"/>
          <w:b w:val="0"/>
          <w:bCs/>
          <w:lang w:eastAsia="zh-CN"/>
        </w:rPr>
        <w:t>一般公共预算财政拨款支出表</w:t>
      </w:r>
      <w:bookmarkEnd w:id="24"/>
    </w:p>
    <w:p/>
    <w:p>
      <w:pPr>
        <w:jc w:val="center"/>
      </w:pPr>
      <w:r>
        <w:object>
          <v:shape id="_x0000_i1032" o:spt="75" alt="" type="#_x0000_t75" style="height:191.8pt;width:437.25pt;" o:ole="t" filled="f" o:preferrelative="t" stroked="f" coordsize="21600,21600">
            <v:path/>
            <v:fill on="f" focussize="0,0"/>
            <v:stroke on="f"/>
            <v:imagedata r:id="rId17" o:title=""/>
            <o:lock v:ext="edit" aspectratio="f"/>
            <w10:wrap type="none"/>
            <w10:anchorlock/>
          </v:shape>
          <o:OLEObject Type="Embed" ProgID="Excel.Sheet.12" ShapeID="_x0000_i1032" DrawAspect="Content" ObjectID="_1468075730" r:id="rId16">
            <o:LockedField>false</o:LockedField>
          </o:OLEObject>
        </w:object>
      </w:r>
    </w:p>
    <w:p/>
    <w:p/>
    <w:p/>
    <w:p>
      <w:pPr>
        <w:pStyle w:val="3"/>
        <w:ind w:firstLine="0" w:firstLineChars="0"/>
        <w:sectPr>
          <w:pgSz w:w="11906" w:h="16838"/>
          <w:pgMar w:top="1440" w:right="1797" w:bottom="1440" w:left="1797" w:header="851" w:footer="992" w:gutter="0"/>
          <w:paperSrc/>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25" w:name="_Toc31795"/>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07表 </w:t>
      </w:r>
      <w:r>
        <w:rPr>
          <w:rFonts w:hint="eastAsia" w:ascii="黑体" w:hAnsi="黑体" w:eastAsia="黑体" w:cs="黑体"/>
          <w:b w:val="0"/>
          <w:bCs/>
          <w:lang w:eastAsia="zh-CN"/>
        </w:rPr>
        <w:t>一般公共预算财政拨款基本支出表</w:t>
      </w:r>
      <w:r>
        <w:rPr>
          <w:rFonts w:hint="eastAsia" w:ascii="黑体" w:hAnsi="黑体" w:eastAsia="黑体" w:cs="黑体"/>
          <w:b w:val="0"/>
          <w:bCs/>
          <w:lang w:eastAsia="zh-CN"/>
        </w:rPr>
        <w:pict>
          <v:shape id="_x0000_s1030" o:spid="_x0000_s1030" o:spt="75" alt="" type="#_x0000_t75" style="position:absolute;left:0pt;margin-left:-61.15pt;margin-top:40.15pt;height:403.1pt;width:541.1pt;mso-wrap-distance-bottom:0pt;mso-wrap-distance-left:9pt;mso-wrap-distance-right:9pt;mso-wrap-distance-top:0pt;z-index:251659264;mso-width-relative:page;mso-height-relative:page;" o:ole="t" filled="f" o:preferrelative="t" stroked="f" coordsize="21600,21600">
            <v:path/>
            <v:fill on="f" focussize="0,0"/>
            <v:stroke on="f"/>
            <v:imagedata r:id="rId19" o:title=""/>
            <o:lock v:ext="edit" aspectratio="f"/>
            <w10:wrap type="square"/>
          </v:shape>
          <o:OLEObject Type="Embed" ProgID="Excel.Sheet.12" ShapeID="_x0000_s1030" DrawAspect="Content" ObjectID="_1468075731" r:id="rId18">
            <o:LockedField>false</o:LockedField>
          </o:OLEObject>
        </w:pict>
      </w:r>
      <w:bookmarkEnd w:id="25"/>
    </w:p>
    <w:p>
      <w:pPr>
        <w:pStyle w:val="4"/>
        <w:ind w:firstLine="0" w:firstLineChars="0"/>
        <w:jc w:val="center"/>
        <w:rPr>
          <w:rFonts w:hint="eastAsia" w:ascii="黑体" w:hAnsi="黑体" w:eastAsia="黑体" w:cs="黑体"/>
          <w:b w:val="0"/>
          <w:bCs/>
          <w:lang w:eastAsia="zh-CN"/>
        </w:rPr>
        <w:sectPr>
          <w:pgSz w:w="11906" w:h="16838"/>
          <w:pgMar w:top="1440" w:right="1797" w:bottom="1440" w:left="1797" w:header="851" w:footer="992" w:gutter="0"/>
          <w:paperSrc/>
          <w:cols w:space="0" w:num="1"/>
          <w:rtlGutter w:val="0"/>
          <w:docGrid w:type="lines" w:linePitch="319" w:charSpace="0"/>
        </w:sectPr>
      </w:pPr>
    </w:p>
    <w:p/>
    <w:p>
      <w:pPr>
        <w:pStyle w:val="4"/>
        <w:ind w:firstLine="0" w:firstLineChars="0"/>
        <w:jc w:val="center"/>
        <w:rPr>
          <w:rFonts w:hint="eastAsia" w:ascii="黑体" w:hAnsi="黑体" w:eastAsia="黑体" w:cs="黑体"/>
          <w:b w:val="0"/>
          <w:bCs/>
          <w:lang w:eastAsia="zh-CN"/>
        </w:rPr>
      </w:pPr>
      <w:bookmarkStart w:id="26" w:name="_Toc10506"/>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08表 </w:t>
      </w:r>
      <w:r>
        <w:rPr>
          <w:rFonts w:hint="eastAsia" w:ascii="黑体" w:hAnsi="黑体" w:eastAsia="黑体" w:cs="黑体"/>
          <w:b w:val="0"/>
          <w:bCs/>
          <w:lang w:eastAsia="zh-CN"/>
        </w:rPr>
        <w:t>一般公共预算“三公”经费支出情况表</w:t>
      </w:r>
      <w:bookmarkEnd w:id="26"/>
    </w:p>
    <w:p/>
    <w:p/>
    <w:tbl>
      <w:tblPr>
        <w:tblStyle w:val="11"/>
        <w:tblW w:w="9165" w:type="dxa"/>
        <w:jc w:val="center"/>
        <w:tblLayout w:type="fixed"/>
        <w:tblCellMar>
          <w:top w:w="0" w:type="dxa"/>
          <w:left w:w="0" w:type="dxa"/>
          <w:bottom w:w="0" w:type="dxa"/>
          <w:right w:w="0" w:type="dxa"/>
        </w:tblCellMar>
      </w:tblPr>
      <w:tblGrid>
        <w:gridCol w:w="3046"/>
        <w:gridCol w:w="3180"/>
        <w:gridCol w:w="2939"/>
      </w:tblGrid>
      <w:tr>
        <w:tblPrEx>
          <w:tblCellMar>
            <w:top w:w="0" w:type="dxa"/>
            <w:left w:w="0" w:type="dxa"/>
            <w:bottom w:w="0" w:type="dxa"/>
            <w:right w:w="0" w:type="dxa"/>
          </w:tblCellMar>
        </w:tblPrEx>
        <w:trPr>
          <w:trHeight w:val="405" w:hRule="atLeast"/>
          <w:jc w:val="center"/>
        </w:trPr>
        <w:tc>
          <w:tcPr>
            <w:tcW w:w="9165" w:type="dxa"/>
            <w:gridSpan w:val="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一般公共预算“三公”经费支出情况表</w:t>
            </w:r>
          </w:p>
        </w:tc>
      </w:tr>
      <w:tr>
        <w:tblPrEx>
          <w:tblCellMar>
            <w:top w:w="0" w:type="dxa"/>
            <w:left w:w="0" w:type="dxa"/>
            <w:bottom w:w="0" w:type="dxa"/>
            <w:right w:w="0" w:type="dxa"/>
          </w:tblCellMar>
        </w:tblPrEx>
        <w:trPr>
          <w:trHeight w:val="270" w:hRule="atLeast"/>
          <w:jc w:val="center"/>
        </w:trPr>
        <w:tc>
          <w:tcPr>
            <w:tcW w:w="9165" w:type="dxa"/>
            <w:gridSpan w:val="3"/>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r>
              <w:rPr>
                <w:rFonts w:hint="eastAsia" w:ascii="宋体" w:hAnsi="宋体" w:eastAsia="宋体" w:cs="宋体"/>
                <w:color w:val="000000"/>
                <w:kern w:val="0"/>
                <w:sz w:val="18"/>
                <w:szCs w:val="18"/>
                <w:lang w:eastAsia="zh-CN" w:bidi="ar"/>
              </w:rPr>
              <w:t>万元</w:t>
            </w:r>
          </w:p>
        </w:tc>
      </w:tr>
      <w:tr>
        <w:tblPrEx>
          <w:tblCellMar>
            <w:top w:w="0" w:type="dxa"/>
            <w:left w:w="0" w:type="dxa"/>
            <w:bottom w:w="0" w:type="dxa"/>
            <w:right w:w="0" w:type="dxa"/>
          </w:tblCellMar>
        </w:tblPrEx>
        <w:trPr>
          <w:trHeight w:val="525" w:hRule="atLeast"/>
          <w:jc w:val="center"/>
        </w:trPr>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      目</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202</w:t>
            </w:r>
            <w:r>
              <w:rPr>
                <w:rFonts w:hint="eastAsia" w:ascii="宋体" w:hAnsi="宋体" w:eastAsia="宋体" w:cs="宋体"/>
                <w:b/>
                <w:color w:val="000000"/>
                <w:kern w:val="0"/>
                <w:sz w:val="20"/>
                <w:szCs w:val="20"/>
                <w:lang w:val="en-US" w:eastAsia="zh-CN" w:bidi="ar"/>
              </w:rPr>
              <w:t>1</w:t>
            </w:r>
            <w:r>
              <w:rPr>
                <w:rFonts w:hint="eastAsia" w:ascii="宋体" w:hAnsi="宋体" w:eastAsia="宋体" w:cs="宋体"/>
                <w:b/>
                <w:color w:val="000000"/>
                <w:kern w:val="0"/>
                <w:sz w:val="20"/>
                <w:szCs w:val="20"/>
                <w:lang w:bidi="ar"/>
              </w:rPr>
              <w:t>年预算数</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eastAsia="zh-CN" w:bidi="ar"/>
              </w:rPr>
              <w:t>2022</w:t>
            </w:r>
            <w:r>
              <w:rPr>
                <w:rFonts w:hint="eastAsia" w:ascii="宋体" w:hAnsi="宋体" w:eastAsia="宋体" w:cs="宋体"/>
                <w:b/>
                <w:color w:val="000000"/>
                <w:kern w:val="0"/>
                <w:sz w:val="20"/>
                <w:szCs w:val="20"/>
                <w:lang w:bidi="ar"/>
              </w:rPr>
              <w:t>年预算数</w:t>
            </w:r>
          </w:p>
        </w:tc>
      </w:tr>
      <w:tr>
        <w:tblPrEx>
          <w:tblCellMar>
            <w:top w:w="0" w:type="dxa"/>
            <w:left w:w="0" w:type="dxa"/>
            <w:bottom w:w="0" w:type="dxa"/>
            <w:right w:w="0" w:type="dxa"/>
          </w:tblCellMar>
        </w:tblPrEx>
        <w:trPr>
          <w:trHeight w:val="525" w:hRule="atLeast"/>
          <w:jc w:val="center"/>
        </w:trPr>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1、因公出国（境）费</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15" w:hRule="atLeast"/>
          <w:jc w:val="center"/>
        </w:trPr>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2、公务接待费</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0.</w:t>
            </w:r>
            <w:r>
              <w:rPr>
                <w:rFonts w:hint="eastAsia" w:ascii="宋体" w:hAnsi="宋体" w:eastAsia="宋体" w:cs="宋体"/>
                <w:color w:val="000000"/>
                <w:kern w:val="0"/>
                <w:sz w:val="20"/>
                <w:szCs w:val="20"/>
                <w:lang w:bidi="ar"/>
              </w:rPr>
              <w:t xml:space="preserve">248823 </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0.235066</w:t>
            </w:r>
          </w:p>
        </w:tc>
      </w:tr>
      <w:tr>
        <w:tblPrEx>
          <w:tblCellMar>
            <w:top w:w="0" w:type="dxa"/>
            <w:left w:w="0" w:type="dxa"/>
            <w:bottom w:w="0" w:type="dxa"/>
            <w:right w:w="0" w:type="dxa"/>
          </w:tblCellMar>
        </w:tblPrEx>
        <w:trPr>
          <w:trHeight w:val="515" w:hRule="atLeast"/>
          <w:jc w:val="center"/>
        </w:trPr>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3、公务用车购置及运行维护费</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25" w:hRule="atLeast"/>
          <w:jc w:val="center"/>
        </w:trPr>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其中；公务用车购置费</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25" w:hRule="atLeast"/>
          <w:jc w:val="center"/>
        </w:trPr>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25" w:hRule="atLeast"/>
          <w:jc w:val="center"/>
        </w:trPr>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      计</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
              </w:rPr>
              <w:t>0.</w:t>
            </w:r>
            <w:r>
              <w:rPr>
                <w:rFonts w:hint="eastAsia" w:ascii="宋体" w:hAnsi="宋体" w:eastAsia="宋体" w:cs="宋体"/>
                <w:color w:val="000000"/>
                <w:kern w:val="0"/>
                <w:sz w:val="20"/>
                <w:szCs w:val="20"/>
                <w:lang w:bidi="ar"/>
              </w:rPr>
              <w:t xml:space="preserve">248823 </w:t>
            </w:r>
          </w:p>
        </w:tc>
        <w:tc>
          <w:tcPr>
            <w:tcW w:w="2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
              </w:rPr>
              <w:t>0.235066</w:t>
            </w:r>
          </w:p>
        </w:tc>
      </w:tr>
    </w:tbl>
    <w:p/>
    <w:p/>
    <w:p/>
    <w:p/>
    <w:p>
      <w:pPr>
        <w:pStyle w:val="4"/>
        <w:ind w:firstLine="0" w:firstLineChars="0"/>
        <w:jc w:val="center"/>
        <w:rPr>
          <w:rFonts w:hint="eastAsia" w:ascii="黑体" w:hAnsi="黑体" w:eastAsia="黑体" w:cs="黑体"/>
          <w:b w:val="0"/>
          <w:bCs/>
          <w:lang w:eastAsia="zh-CN"/>
        </w:rPr>
      </w:pPr>
      <w:bookmarkStart w:id="27" w:name="_Toc11809"/>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09表 </w:t>
      </w:r>
      <w:r>
        <w:rPr>
          <w:rFonts w:hint="eastAsia" w:ascii="黑体" w:hAnsi="黑体" w:eastAsia="黑体" w:cs="黑体"/>
          <w:b w:val="0"/>
          <w:bCs/>
          <w:lang w:eastAsia="zh-CN"/>
        </w:rPr>
        <w:t>政府性基金预算财政拨款支出表</w:t>
      </w:r>
      <w:bookmarkEnd w:id="27"/>
    </w:p>
    <w:p/>
    <w:tbl>
      <w:tblPr>
        <w:tblStyle w:val="11"/>
        <w:tblW w:w="8342" w:type="dxa"/>
        <w:tblInd w:w="0" w:type="dxa"/>
        <w:tblLayout w:type="fixed"/>
        <w:tblCellMar>
          <w:top w:w="0" w:type="dxa"/>
          <w:left w:w="0" w:type="dxa"/>
          <w:bottom w:w="0" w:type="dxa"/>
          <w:right w:w="0" w:type="dxa"/>
        </w:tblCellMar>
      </w:tblPr>
      <w:tblGrid>
        <w:gridCol w:w="2736"/>
        <w:gridCol w:w="1401"/>
        <w:gridCol w:w="1402"/>
        <w:gridCol w:w="1401"/>
        <w:gridCol w:w="1402"/>
      </w:tblGrid>
      <w:tr>
        <w:tblPrEx>
          <w:tblCellMar>
            <w:top w:w="0" w:type="dxa"/>
            <w:left w:w="0" w:type="dxa"/>
            <w:bottom w:w="0" w:type="dxa"/>
            <w:right w:w="0" w:type="dxa"/>
          </w:tblCellMar>
        </w:tblPrEx>
        <w:trPr>
          <w:trHeight w:val="270" w:hRule="atLeast"/>
        </w:trPr>
        <w:tc>
          <w:tcPr>
            <w:tcW w:w="2736"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4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 目 名 称</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  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r>
      <w:tr>
        <w:tblPrEx>
          <w:tblCellMar>
            <w:top w:w="0" w:type="dxa"/>
            <w:left w:w="0" w:type="dxa"/>
            <w:bottom w:w="0" w:type="dxa"/>
            <w:right w:w="0" w:type="dxa"/>
          </w:tblCellMar>
        </w:tblPrEx>
        <w:trPr>
          <w:trHeight w:val="4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  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70" w:hRule="atLeast"/>
        </w:trPr>
        <w:tc>
          <w:tcPr>
            <w:tcW w:w="273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注：本单位无此类资金预算</w:t>
            </w: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bl>
    <w:p/>
    <w:p/>
    <w:p/>
    <w:p/>
    <w:p/>
    <w:p/>
    <w:p/>
    <w:p/>
    <w:p>
      <w:pPr>
        <w:sectPr>
          <w:pgSz w:w="11906" w:h="16838"/>
          <w:pgMar w:top="1440" w:right="1797" w:bottom="1440" w:left="1797" w:header="851" w:footer="992" w:gutter="0"/>
          <w:paperSrc/>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28" w:name="_Toc22969"/>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10表 </w:t>
      </w:r>
      <w:r>
        <w:rPr>
          <w:rFonts w:hint="eastAsia" w:ascii="黑体" w:hAnsi="黑体" w:eastAsia="黑体" w:cs="黑体"/>
          <w:b w:val="0"/>
          <w:bCs/>
          <w:lang w:eastAsia="zh-CN"/>
        </w:rPr>
        <w:t xml:space="preserve"> 国有资本经营预算财政拨款支出表</w:t>
      </w:r>
      <w:bookmarkEnd w:id="28"/>
    </w:p>
    <w:p/>
    <w:tbl>
      <w:tblPr>
        <w:tblStyle w:val="11"/>
        <w:tblpPr w:leftFromText="180" w:rightFromText="180" w:vertAnchor="text" w:horzAnchor="page" w:tblpXSpec="center" w:tblpY="304"/>
        <w:tblOverlap w:val="neve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37"/>
        <w:gridCol w:w="2038"/>
        <w:gridCol w:w="2038"/>
        <w:gridCol w:w="503"/>
        <w:gridCol w:w="83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3262" w:type="pct"/>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087" w:type="pct"/>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087" w:type="pct"/>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087" w:type="pct"/>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737" w:type="pct"/>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087" w:type="pct"/>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7" w:type="pct"/>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7" w:type="pct"/>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79" w:type="pc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79" w:type="pc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579" w:type="pc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08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087"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087"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本单位无此类预算</w:t>
            </w:r>
          </w:p>
        </w:tc>
        <w:tc>
          <w:tcPr>
            <w:tcW w:w="1087"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7"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
    <w:p/>
    <w:p/>
    <w:p>
      <w:pPr>
        <w:pStyle w:val="4"/>
        <w:ind w:firstLine="0" w:firstLineChars="0"/>
        <w:jc w:val="center"/>
        <w:rPr>
          <w:rFonts w:hint="eastAsia" w:ascii="黑体" w:hAnsi="黑体" w:eastAsia="黑体" w:cs="黑体"/>
          <w:b w:val="0"/>
          <w:bCs/>
          <w:lang w:eastAsia="zh-CN"/>
        </w:rPr>
      </w:pPr>
      <w:bookmarkStart w:id="29" w:name="_Toc19784"/>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11表 </w:t>
      </w:r>
      <w:r>
        <w:rPr>
          <w:rFonts w:hint="eastAsia" w:ascii="黑体" w:hAnsi="黑体" w:eastAsia="黑体" w:cs="黑体"/>
          <w:b w:val="0"/>
          <w:bCs/>
          <w:lang w:eastAsia="zh-CN"/>
        </w:rPr>
        <w:t>政府购买服务预算财政拨款明细表</w:t>
      </w:r>
      <w:bookmarkEnd w:id="29"/>
    </w:p>
    <w:p/>
    <w:p/>
    <w:tbl>
      <w:tblPr>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87"/>
        <w:gridCol w:w="2949"/>
        <w:gridCol w:w="1838"/>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132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0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编码(代码)</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政府购买服务目录及项目名称</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支出功能分类科目</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预算批复数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总计</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注：本单位无此类资金预算</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rPr>
      </w:pPr>
    </w:p>
    <w:p>
      <w:pPr>
        <w:rPr>
          <w:rFonts w:hint="eastAsia"/>
        </w:rPr>
      </w:pPr>
      <w:r>
        <w:rPr>
          <w:rFonts w:hint="eastAsia" w:ascii="黑体" w:hAnsi="黑体" w:eastAsia="黑体" w:cs="黑体"/>
          <w:b w:val="0"/>
          <w:bCs/>
          <w:lang w:eastAsia="zh-CN"/>
        </w:rPr>
        <w:pict>
          <v:shape id="_x0000_s1031" o:spid="_x0000_s1031" o:spt="75" type="#_x0000_t75" style="position:absolute;left:0pt;margin-left:0.8pt;margin-top:98.3pt;height:76.5pt;width:415.6pt;mso-wrap-distance-bottom:0pt;mso-wrap-distance-left:9pt;mso-wrap-distance-right:9pt;mso-wrap-distance-top:0pt;z-index:251660288;mso-width-relative:page;mso-height-relative:page;" o:ole="t" filled="f" o:preferrelative="t" stroked="f" coordsize="21600,21600">
            <v:path/>
            <v:fill on="f" focussize="0,0"/>
            <v:stroke on="f"/>
            <v:imagedata r:id="rId21" o:title=""/>
            <o:lock v:ext="edit" aspectratio="f"/>
            <w10:wrap type="square"/>
          </v:shape>
          <o:OLEObject Type="Embed" ProgID="Excel.Sheet.12" ShapeID="_x0000_s1031" DrawAspect="Content" ObjectID="_1468075732" r:id="rId20">
            <o:LockedField>false</o:LockedField>
          </o:OLEObject>
        </w:pict>
      </w:r>
    </w:p>
    <w:p>
      <w:pPr>
        <w:rPr>
          <w:rFonts w:hint="eastAsia"/>
        </w:rPr>
      </w:pPr>
    </w:p>
    <w:p>
      <w:pPr>
        <w:pStyle w:val="4"/>
        <w:ind w:firstLine="0" w:firstLineChars="0"/>
        <w:jc w:val="center"/>
        <w:rPr>
          <w:rFonts w:hint="eastAsia" w:ascii="黑体" w:hAnsi="黑体" w:eastAsia="黑体" w:cs="黑体"/>
          <w:b w:val="0"/>
          <w:bCs/>
          <w:lang w:val="en-US" w:eastAsia="zh-CN"/>
        </w:rPr>
      </w:pPr>
      <w:bookmarkStart w:id="30" w:name="_Toc23233"/>
      <w:r>
        <w:rPr>
          <w:rFonts w:hint="eastAsia" w:ascii="黑体" w:hAnsi="黑体" w:eastAsia="黑体" w:cs="黑体"/>
          <w:b w:val="0"/>
          <w:bCs/>
          <w:lang w:eastAsia="zh-CN"/>
        </w:rPr>
        <w:t>预算</w:t>
      </w:r>
      <w:r>
        <w:rPr>
          <w:rFonts w:hint="eastAsia" w:ascii="黑体" w:hAnsi="黑体" w:eastAsia="黑体" w:cs="黑体"/>
          <w:b w:val="0"/>
          <w:bCs/>
          <w:lang w:val="en-US" w:eastAsia="zh-CN"/>
        </w:rPr>
        <w:t>12表 上级转移支付细化明细表</w:t>
      </w:r>
      <w:bookmarkEnd w:id="30"/>
    </w:p>
    <w:p>
      <w:pPr>
        <w:pStyle w:val="4"/>
        <w:ind w:firstLine="0" w:firstLineChars="0"/>
        <w:jc w:val="center"/>
        <w:rPr>
          <w:rFonts w:hint="eastAsia" w:ascii="黑体" w:hAnsi="黑体" w:eastAsia="黑体" w:cs="黑体"/>
          <w:b w:val="0"/>
          <w:bCs/>
          <w:lang w:eastAsia="zh-CN"/>
        </w:rPr>
      </w:pPr>
      <w:r>
        <w:rPr>
          <w:rFonts w:hint="eastAsia" w:ascii="黑体" w:hAnsi="黑体" w:eastAsia="黑体" w:cs="黑体"/>
          <w:b w:val="0"/>
          <w:bCs/>
          <w:lang w:eastAsia="zh-CN"/>
        </w:rPr>
        <w:br w:type="page"/>
      </w:r>
    </w:p>
    <w:p>
      <w:pPr>
        <w:pStyle w:val="4"/>
        <w:ind w:firstLine="0" w:firstLineChars="0"/>
        <w:jc w:val="center"/>
        <w:rPr>
          <w:rFonts w:hint="eastAsia" w:ascii="黑体" w:hAnsi="黑体" w:eastAsia="黑体" w:cs="黑体"/>
          <w:b w:val="0"/>
          <w:bCs/>
          <w:lang w:eastAsia="zh-CN"/>
        </w:rPr>
        <w:sectPr>
          <w:pgSz w:w="11906" w:h="16838"/>
          <w:pgMar w:top="1440" w:right="1797" w:bottom="1440" w:left="1797" w:header="851" w:footer="992" w:gutter="0"/>
          <w:paperSrc/>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31" w:name="_Toc22616"/>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13表 </w:t>
      </w:r>
      <w:r>
        <w:rPr>
          <w:rFonts w:hint="eastAsia" w:ascii="黑体" w:hAnsi="黑体" w:eastAsia="黑体" w:cs="黑体"/>
          <w:b w:val="0"/>
          <w:bCs/>
          <w:lang w:eastAsia="zh-CN"/>
        </w:rPr>
        <w:t>部门整体支出绩效目标申报表</w:t>
      </w:r>
      <w:bookmarkEnd w:id="31"/>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1"/>
        <w:gridCol w:w="782"/>
        <w:gridCol w:w="778"/>
        <w:gridCol w:w="778"/>
        <w:gridCol w:w="778"/>
        <w:gridCol w:w="778"/>
        <w:gridCol w:w="793"/>
        <w:gridCol w:w="778"/>
        <w:gridCol w:w="793"/>
        <w:gridCol w:w="779"/>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776"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b/>
                <w:bCs w:val="0"/>
              </w:rPr>
              <w:br w:type="page"/>
            </w:r>
            <w:r>
              <w:rPr>
                <w:rFonts w:hint="eastAsia" w:ascii="宋体" w:hAnsi="宋体" w:eastAsia="宋体" w:cs="宋体"/>
                <w:i w:val="0"/>
                <w:color w:val="000000"/>
                <w:kern w:val="0"/>
                <w:sz w:val="22"/>
                <w:szCs w:val="22"/>
                <w:u w:val="none"/>
                <w:lang w:val="en-US" w:eastAsia="zh-CN" w:bidi="ar"/>
              </w:rPr>
              <w:t>总体资金情况（万元）</w:t>
            </w:r>
          </w:p>
        </w:tc>
        <w:tc>
          <w:tcPr>
            <w:tcW w:w="466" w:type="pct"/>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预算支出总额</w:t>
            </w:r>
          </w:p>
        </w:tc>
        <w:tc>
          <w:tcPr>
            <w:tcW w:w="1873" w:type="pct"/>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884" w:type="pct"/>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776"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6" w:type="pct"/>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6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6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46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47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c>
          <w:tcPr>
            <w:tcW w:w="46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7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46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47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76"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6"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785.68 </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627.07 </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627.07 </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158.61 </w:t>
            </w:r>
          </w:p>
        </w:tc>
        <w:tc>
          <w:tcPr>
            <w:tcW w:w="4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158.61 </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1"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整</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体</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绩</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情</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况</w:t>
            </w:r>
          </w:p>
        </w:tc>
        <w:tc>
          <w:tcPr>
            <w:tcW w:w="46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整体绩效目标</w:t>
            </w:r>
          </w:p>
        </w:tc>
        <w:tc>
          <w:tcPr>
            <w:tcW w:w="4223" w:type="pct"/>
            <w:gridSpan w:val="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1.全年至少召开一次全区红十字理事会、监事会。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进一步加强组织建设，加大与会员单位的联系力度，指导会员单位结合自身资源优势与特点开展红十字工作和特色活动；加大对全区各级红十字组织专兼职干部、常务理事、监事、志愿者、信息员培训力度，提高红十字工作人员的职业化水平和创新能力、自律能力、服务能力，建设一支热爱事业、乐于奉献，精通业务、廉洁奉公的队伍。</w:t>
            </w:r>
            <w:r>
              <w:rPr>
                <w:rFonts w:hint="eastAsia" w:ascii="宋体" w:hAnsi="宋体" w:eastAsia="宋体" w:cs="宋体"/>
                <w:i w:val="0"/>
                <w:color w:val="000000"/>
                <w:kern w:val="0"/>
                <w:sz w:val="22"/>
                <w:szCs w:val="22"/>
                <w:u w:val="none"/>
                <w:lang w:val="en-US" w:eastAsia="zh-CN" w:bidi="ar"/>
              </w:rPr>
              <w:br w:type="textWrapping"/>
            </w:r>
            <w:r>
              <w:rPr>
                <w:rFonts w:ascii="Arial" w:hAnsi="Arial" w:eastAsia="宋体" w:cs="Arial"/>
                <w:i w:val="0"/>
                <w:color w:val="000000"/>
                <w:kern w:val="0"/>
                <w:sz w:val="22"/>
                <w:szCs w:val="22"/>
                <w:u w:val="none"/>
                <w:lang w:val="en-US" w:eastAsia="zh-CN" w:bidi="ar"/>
              </w:rPr>
              <w:t xml:space="preserve"> </w:t>
            </w:r>
            <w:r>
              <w:rPr>
                <w:rStyle w:val="25"/>
                <w:lang w:val="en-US" w:eastAsia="zh-CN" w:bidi="ar"/>
              </w:rPr>
              <w:t>3.充分发挥红十字组织作为党和政府在人道领域联系群众的桥梁和纽带作用，联系、组织社会各界慈善力量做好募捐工作，协助政府做好人道主义社会救助工作。</w:t>
            </w:r>
            <w:r>
              <w:rPr>
                <w:rStyle w:val="25"/>
                <w:lang w:val="en-US" w:eastAsia="zh-CN" w:bidi="ar"/>
              </w:rPr>
              <w:br w:type="textWrapping"/>
            </w:r>
            <w:r>
              <w:rPr>
                <w:rFonts w:ascii="Arial" w:hAnsi="Arial" w:eastAsia="宋体" w:cs="Arial"/>
                <w:i w:val="0"/>
                <w:color w:val="000000"/>
                <w:kern w:val="0"/>
                <w:sz w:val="22"/>
                <w:szCs w:val="22"/>
                <w:u w:val="none"/>
                <w:lang w:val="en-US" w:eastAsia="zh-CN" w:bidi="ar"/>
              </w:rPr>
              <w:t xml:space="preserve"> </w:t>
            </w:r>
            <w:r>
              <w:rPr>
                <w:rStyle w:val="25"/>
                <w:lang w:val="en-US" w:eastAsia="zh-CN" w:bidi="ar"/>
              </w:rPr>
              <w:t>4.大力普及自救互救知识，全面提高辖区公众自救互救意识和知识技能，重点提高全区机关、企事业单位、社区居民，特别是学校和特殊行业从业人员应对灾害和突发事件的能力。</w:t>
            </w:r>
            <w:r>
              <w:rPr>
                <w:rStyle w:val="25"/>
                <w:lang w:val="en-US" w:eastAsia="zh-CN" w:bidi="ar"/>
              </w:rPr>
              <w:br w:type="textWrapping"/>
            </w:r>
            <w:r>
              <w:rPr>
                <w:rFonts w:ascii="Arial" w:hAnsi="Arial" w:eastAsia="宋体" w:cs="Arial"/>
                <w:i w:val="0"/>
                <w:color w:val="000000"/>
                <w:kern w:val="0"/>
                <w:sz w:val="22"/>
                <w:szCs w:val="22"/>
                <w:u w:val="none"/>
                <w:lang w:val="en-US" w:eastAsia="zh-CN" w:bidi="ar"/>
              </w:rPr>
              <w:t xml:space="preserve"> </w:t>
            </w:r>
            <w:r>
              <w:rPr>
                <w:rStyle w:val="25"/>
                <w:lang w:val="en-US" w:eastAsia="zh-CN" w:bidi="ar"/>
              </w:rPr>
              <w:t>5.开展红十字青少年活动，在青少年中传播“人道、博爱、奉献”的红十字精神。</w:t>
            </w:r>
            <w:r>
              <w:rPr>
                <w:rStyle w:val="25"/>
                <w:lang w:val="en-US" w:eastAsia="zh-CN" w:bidi="ar"/>
              </w:rPr>
              <w:br w:type="textWrapping"/>
            </w:r>
            <w:r>
              <w:rPr>
                <w:rFonts w:ascii="Arial" w:hAnsi="Arial" w:eastAsia="宋体" w:cs="Arial"/>
                <w:i w:val="0"/>
                <w:color w:val="000000"/>
                <w:kern w:val="0"/>
                <w:sz w:val="22"/>
                <w:szCs w:val="22"/>
                <w:u w:val="none"/>
                <w:lang w:val="en-US" w:eastAsia="zh-CN" w:bidi="ar"/>
              </w:rPr>
              <w:t xml:space="preserve"> </w:t>
            </w:r>
            <w:r>
              <w:rPr>
                <w:rStyle w:val="25"/>
                <w:lang w:val="en-US" w:eastAsia="zh-CN" w:bidi="ar"/>
              </w:rPr>
              <w:t>6.通过举办讲座、街头宣传等形式宣传无偿献血和造血干细胞捐献，招募造血干细胞捐献志愿者，对在库志愿者进行跟踪回访，努力扩充并保持中华造血干细胞捐献者资料库容量。做好配型成功的捐献志愿者的服务工作，为造血干细胞捐献和运送工作提供保障。</w:t>
            </w:r>
            <w:r>
              <w:rPr>
                <w:rStyle w:val="25"/>
                <w:lang w:val="en-US" w:eastAsia="zh-CN" w:bidi="ar"/>
              </w:rPr>
              <w:br w:type="textWrapping"/>
            </w:r>
            <w:r>
              <w:rPr>
                <w:rFonts w:ascii="Arial" w:hAnsi="Arial" w:eastAsia="宋体" w:cs="Arial"/>
                <w:i w:val="0"/>
                <w:color w:val="000000"/>
                <w:kern w:val="0"/>
                <w:sz w:val="22"/>
                <w:szCs w:val="22"/>
                <w:u w:val="none"/>
                <w:lang w:val="en-US" w:eastAsia="zh-CN" w:bidi="ar"/>
              </w:rPr>
              <w:t xml:space="preserve"> </w:t>
            </w:r>
            <w:r>
              <w:rPr>
                <w:rStyle w:val="25"/>
                <w:lang w:val="en-US" w:eastAsia="zh-CN" w:bidi="ar"/>
              </w:rPr>
              <w:t>7.指导志愿者队伍做好志愿服务活动方案的策划、组织、实施，积极组织志愿者队伍广泛开展志愿服务活动，着力打造有社会影响力的公益品牌项目。加强西城区红十字志愿队伍建设，增强红十字精神对志愿者的感召力，对优秀的红十字志愿者给予宣传，调动广大志愿者的积极性，主动性，增强归属感，使其经常、主动参与志愿服务活动，履行志愿者义务，用行动奉献社会。</w:t>
            </w:r>
            <w:r>
              <w:rPr>
                <w:rStyle w:val="25"/>
                <w:lang w:val="en-US" w:eastAsia="zh-CN" w:bidi="ar"/>
              </w:rPr>
              <w:br w:type="textWrapping"/>
            </w:r>
            <w:r>
              <w:rPr>
                <w:rFonts w:ascii="Arial" w:hAnsi="Arial" w:eastAsia="宋体" w:cs="Arial"/>
                <w:i w:val="0"/>
                <w:color w:val="000000"/>
                <w:kern w:val="0"/>
                <w:sz w:val="22"/>
                <w:szCs w:val="22"/>
                <w:u w:val="none"/>
                <w:lang w:val="en-US" w:eastAsia="zh-CN" w:bidi="ar"/>
              </w:rPr>
              <w:t xml:space="preserve"> </w:t>
            </w:r>
            <w:r>
              <w:rPr>
                <w:rStyle w:val="25"/>
                <w:lang w:val="en-US" w:eastAsia="zh-CN" w:bidi="ar"/>
              </w:rPr>
              <w:t>8.充分利用各种活动和纪念日，应用多种媒体，尤其是新媒体，广泛宣传红十字运动、人道理念和红十字文化，营造良好舆论氛围，争取更多的社会爱心力量理解、支持、参与红十字事业。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92" w:type="pct"/>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活动</w:t>
            </w:r>
          </w:p>
        </w:tc>
        <w:tc>
          <w:tcPr>
            <w:tcW w:w="46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任务</w:t>
            </w:r>
          </w:p>
        </w:tc>
        <w:tc>
          <w:tcPr>
            <w:tcW w:w="46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46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94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三级指标</w:t>
            </w:r>
          </w:p>
        </w:tc>
        <w:tc>
          <w:tcPr>
            <w:tcW w:w="46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47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绩效指标值</w:t>
            </w:r>
          </w:p>
        </w:tc>
        <w:tc>
          <w:tcPr>
            <w:tcW w:w="46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04-红十字宣传传播/03-综合宣传</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订阅红十字一报一刊</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订《中国红十字报》《博爱》份数</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5.8宣传活动</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开展活动次数</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05-红十字组织建设/01-会员代表大会</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召开会员代表大会</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出席会议人数</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05-红十字组织建设/03-培训工作</w:t>
            </w:r>
          </w:p>
        </w:tc>
        <w:tc>
          <w:tcPr>
            <w:tcW w:w="46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培训区各级红十字组织专兼职干部、常务理事、监事、志愿者、信息员</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培训人数</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参训人员满意度</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08-应急救护知识普及/01-应急救护培训</w:t>
            </w:r>
          </w:p>
        </w:tc>
        <w:tc>
          <w:tcPr>
            <w:tcW w:w="46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大力宣传普及应急救护知识</w:t>
            </w:r>
          </w:p>
        </w:tc>
        <w:tc>
          <w:tcPr>
            <w:tcW w:w="46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全区红十字系统开展应急救护普及培训参与人数</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全区红十字系统开展应急救护取证培训参与人数</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取得各类红十字急救培训证书人数</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提高区域内干部、群众、师生应对突发事件的综合能力。</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参训单位或人员满意度</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08-应急救护知识普及/04-应急救护能力建设</w:t>
            </w:r>
          </w:p>
        </w:tc>
        <w:tc>
          <w:tcPr>
            <w:tcW w:w="46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为各级红十字组织、学校、重点行业、人群配备急救包</w:t>
            </w:r>
          </w:p>
        </w:tc>
        <w:tc>
          <w:tcPr>
            <w:tcW w:w="46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为青少年、各级红十字组织、应急志愿者、重点行业、重点人群配发急救包数量</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急救包质量</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11-志愿服务/01-红十字志愿服务</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干细胞捐献志愿者资料入库</w:t>
            </w:r>
          </w:p>
        </w:tc>
        <w:tc>
          <w:tcPr>
            <w:tcW w:w="4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干细胞捐献志愿者资料入库人数</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开展红十字志愿服务活动</w:t>
            </w:r>
          </w:p>
        </w:tc>
        <w:tc>
          <w:tcPr>
            <w:tcW w:w="46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全年志愿服务保障经费</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87500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6"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全年志愿服务活动经费</w:t>
            </w:r>
          </w:p>
        </w:tc>
        <w:tc>
          <w:tcPr>
            <w:tcW w:w="466"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33000</w:t>
            </w:r>
          </w:p>
        </w:tc>
        <w:tc>
          <w:tcPr>
            <w:tcW w:w="4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其他说明</w:t>
            </w:r>
          </w:p>
        </w:tc>
        <w:tc>
          <w:tcPr>
            <w:tcW w:w="4692"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r>
    </w:tbl>
    <w:p>
      <w:pPr>
        <w:pStyle w:val="4"/>
        <w:ind w:firstLine="0" w:firstLineChars="0"/>
        <w:jc w:val="center"/>
        <w:rPr>
          <w:rFonts w:hint="eastAsia"/>
          <w:b/>
          <w:bCs w:val="0"/>
        </w:rPr>
        <w:sectPr>
          <w:pgSz w:w="11906" w:h="16838"/>
          <w:pgMar w:top="1440" w:right="1797" w:bottom="1440" w:left="1797" w:header="851" w:footer="992" w:gutter="0"/>
          <w:paperSrc/>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32" w:name="_Toc4671"/>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14表 </w:t>
      </w:r>
      <w:r>
        <w:rPr>
          <w:rFonts w:hint="eastAsia" w:ascii="黑体" w:hAnsi="黑体" w:eastAsia="黑体" w:cs="黑体"/>
          <w:b w:val="0"/>
          <w:bCs/>
          <w:lang w:eastAsia="zh-CN"/>
        </w:rPr>
        <w:t>项目支出绩效表</w:t>
      </w:r>
      <w:bookmarkEnd w:id="32"/>
    </w:p>
    <w:p>
      <w:pPr>
        <w:jc w:val="right"/>
        <w:rPr>
          <w:rFonts w:hint="eastAsia" w:eastAsiaTheme="minorEastAsia"/>
          <w:lang w:eastAsia="zh-CN"/>
        </w:rPr>
      </w:pPr>
      <w:r>
        <w:rPr>
          <w:rFonts w:hint="eastAsia"/>
          <w:lang w:eastAsia="zh-CN"/>
        </w:rPr>
        <w:t>金额单位：万元</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10"/>
        <w:gridCol w:w="416"/>
        <w:gridCol w:w="840"/>
        <w:gridCol w:w="840"/>
        <w:gridCol w:w="418"/>
        <w:gridCol w:w="570"/>
        <w:gridCol w:w="269"/>
        <w:gridCol w:w="416"/>
        <w:gridCol w:w="750"/>
        <w:gridCol w:w="437"/>
        <w:gridCol w:w="570"/>
        <w:gridCol w:w="570"/>
        <w:gridCol w:w="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blHeader/>
        </w:trPr>
        <w:tc>
          <w:tcPr>
            <w:tcW w:w="808"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c>
          <w:tcPr>
            <w:tcW w:w="345"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项目总额</w:t>
            </w:r>
          </w:p>
        </w:tc>
        <w:tc>
          <w:tcPr>
            <w:tcW w:w="690" w:type="pct"/>
            <w:gridSpan w:val="2"/>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绩效目标</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345"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356"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绩效指标性质</w:t>
            </w:r>
          </w:p>
        </w:tc>
        <w:tc>
          <w:tcPr>
            <w:tcW w:w="417"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本年绩效指标值</w:t>
            </w:r>
          </w:p>
        </w:tc>
        <w:tc>
          <w:tcPr>
            <w:tcW w:w="356"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绩效度量单位</w:t>
            </w:r>
          </w:p>
        </w:tc>
        <w:tc>
          <w:tcPr>
            <w:tcW w:w="302" w:type="pct"/>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blHeader/>
        </w:trPr>
        <w:tc>
          <w:tcPr>
            <w:tcW w:w="808"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45"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45" w:type="pc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财政资金</w:t>
            </w:r>
          </w:p>
        </w:tc>
        <w:tc>
          <w:tcPr>
            <w:tcW w:w="345" w:type="pc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c>
          <w:tcPr>
            <w:tcW w:w="344"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45"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56"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17"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56"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2" w:type="pct"/>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11010222T000000419350-红十字常务理事、监事、 专兼职干部培训费</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加大与基层组织、常务理事单位的联系力度，有效将红十字工作融入驻区单位和社区中，打造群众身边的红十字会，指导基层组织结合自身资源优势与特点开展红十字工作和特色活动；加大对全区各级红十字组织专兼职干部、常务理事、监事、志愿者、信息员的培训力度，提高红十字人的整体职业化水平和创新能力、自律能力、服务能力，建设和壮大一支热爱红十字事业、热心公益活动，勇于献言献策，乐于无私奉献的红十字队伍。</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对我区32名常务理事、5名监事进行红十字运动等相关培训,约40人进行培训</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组织基层红十字专兼职干部和骨干志愿者80人举办为期1天的培训班</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质量指标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使专兼职干部和志愿者及时更新会法会务和业务知识，及时传达党和政府及上级红十字组织的最新会议、文件精神，掌握红十字事业的发展趋势和工作动态。</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培训费支出</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人/天</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效益指标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社会效益指标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通过举办培训班切实增强专兼职干部和志愿者对红十字工作的理解和支持，加强区红十字会与基层组织间的联系和基层组织间的横向联系，争取更大范围的社会支持。</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效益指标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社会效益指标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通过培训，切实发挥常务理事决策和建议作用，切实发挥监事的指导和监督作用。</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满意度指标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服务对象满意度指标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培训对象满意度</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11010222T000000419354-公益文化建设经费</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69.464000</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69.464000</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 xml:space="preserve">为不断推动《中华人民共和国红十字会法》、《民法典》的学习宣传贯彻，帮助广大的红十字工作者、红十字会员以及社会各界人士理解国家法律法规的立法原意和条文内涵，通过加强普法宣传，增强公众法制意识，推进社会法制建设和社会和谐发展，通过加强对红十字文化和红十字精神的宣传，在社会中营造“人道为本、博爱为怀、奉献为荣”的氛围，开展红十字基层组织建设、人道服务、人道传播等工作，协助政府推进社会和谐发展。为纪念“世界红十字日”，进一步推动无偿献血宣传、推进造血干细胞工作的有效开展，不断扩大红十字会的社会影响，凝聚更多的社会力量参与和支持红十字事业，根据总会、市会的整体宣传要求，指导和服务各红十字工作委员会、各街道红十字会、学校红十字会在因地制宜、各具特色的开展主题鲜明、活动内容新颖、可操作性强、群众喜闻乐见的群众性活动，更好的营造“五八”世界红十字日文化月浓厚的宣传氛围，在社会上集中传播“人道 博爱 奉献”的精神，宣传热心公益的爱心人士，红十字人、红十字志愿者服务基层、密切联系群众的行动，展示红十字会在新时代的新气象、新作为。创新宣传形式，丰富宣传内容，增强宣传实效，将社会各界的公益力量凝聚起来，充分展示他们的风采和特点，切实推进西城区红十字事业。 </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为区领导、理事、监事、志愿者服务队、部分工作委员会委员等红十字专兼职人员订阅《中国红十字报》和《博爱》杂志</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份</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制作红十字宣传品</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开展5.8宣传活动1次</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质量指标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在微信公众号等媒体平台发布各类会议、活动信息和工作动态篇数</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篇</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订阅《中国红十字报》和《博爱》杂志</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元/套</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“5·8”世界红十字日公益文化月宣传活动</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244000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元/年</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媒体宣传费用</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元/年</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效益指标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社会效益指标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通过全区各级红十字组织的共同努力， 通过宣传，争取获得社会各界的支持，使红十字事业持续发展，更好的开展人道活动，更好的展示红十字会在新时代的新气象、新作为。</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满意度指标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服务对象满意度指标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问卷调查满意率</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11010222T000000419358-红十字志愿服务活动经费</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12.050000</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12.050000</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指导志愿者队伍做好志愿服务活动方案的策划、组织、实施，积极组织志愿者队伍广泛开展志愿服务活动，着力打造有社会影响力的公益品牌项目。加强西城区红十字志愿队伍建设，增强红十字精神对志愿者的感召力，对优秀的红十字志愿者给予宣传，调动广大志愿者的积极性，主动性，增强归属感，使其经常、主动参与志愿服务活动，履行志愿者义务，用行动奉献社会。</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造血干细胞入库人数</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每支志愿服务队（不包括牵手希望）活动次数</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次/年</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质量指标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为志愿者开展各项服务活动做好组织指导和服务保障。通过开展红十字志愿服务活动，拓宽服务领域，通过志愿服务，积极参与社区治理的同时，延伸更广泛地宣传红十字公益理念、争取更大范围的社会支持。提高红十字会的公信力、影响力。</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造血干细胞捐献者慰问经费</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元/人·次</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每支志愿服务队活动经费</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元/年</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志愿者活动保障经费（每4小时计1次）</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元/人·次</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效益指标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社会效益指标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号召社会公众支持、参与红十字公益活动，促进我区红十字事业健康发展，为维护地区稳定、促进和谐发展做出贡献。将志愿服务的专业性、稳定性和群众性、广泛性相结合，使志愿服务能持久开展并随着社会发展和群众需求而不断发展。</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满意度指标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服务对象满意度指标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问卷调查满意率</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11010222T000000419364-应急救护知识普及与青少年工作</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61.900000</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61.900000</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全年力争向8万人次宣传普及应急救护知识，其中取得各类红十字急救课程证书者不少于8000人，参加红十字应急救护大讲堂普及课程者不少于10600人次（由区红会、街道共同完成），为各级红十字组织、学校、重点行业、人群配备急救包，为推进西城区城市安全发展，助力健康北京和平安北京建设，促进和谐社会建设发挥积极作用。</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配发急救包数量</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全区红十字系统开展应急救护取证培训参与人数</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全区红十字系统开展急救护大讲堂普及课程参与人数</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质量指标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取得各类红十字急救课程证书人数</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质量指标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急救包质量</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配发急救包平均单价</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元/个</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全年大讲堂普及培训费用</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全年取证培训费用</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效益指标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社会效益指标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不断增强区域内干部、群众、师生应对突发事件的综合能力</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满意度指标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服务对象满意度指标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参训人员满意率</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11010222T000000466164-预留机动费</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345" w:type="pc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4.249381</w:t>
            </w:r>
          </w:p>
        </w:tc>
        <w:tc>
          <w:tcPr>
            <w:tcW w:w="345" w:type="pc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4.249381</w:t>
            </w:r>
          </w:p>
        </w:tc>
        <w:tc>
          <w:tcPr>
            <w:tcW w:w="345" w:type="pc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根据实际工作需要安排使用</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根据实际工作需要在额度范围内安排使用</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元/年</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11010222T000000481237-西城区红十字会第三次会员代表大会</w:t>
            </w:r>
          </w:p>
        </w:tc>
        <w:tc>
          <w:tcPr>
            <w:tcW w:w="344"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3.950000</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3.950000</w:t>
            </w:r>
          </w:p>
        </w:tc>
        <w:tc>
          <w:tcPr>
            <w:tcW w:w="345" w:type="pct"/>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由区红十字会、区委办局、群众团体、基层组织、企事业单位、爱心人士等产生代表，并依据《中华人民共和国红十字会法》《中国红十字会章程》召开会员代表大会，选举产生新一届理事、监事，审议通过上一个五年工作报告和下一个五年工作规划等文件。新一届理事参加第一次理事会议，选举产生常务理事、会长、常务副会长、副会长和兼职副会长。新当选监事参加第一次监事会议，选举产生监事长、副监事。</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召开新一届理事会第一次会议</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召开新一届监事会第一次会议</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数量指标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召开第三次会员代表大会</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质量指标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合法合规召开大会</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时效指标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按时召开会员代表大会</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核算检测费</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产出指标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成本指标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会议费</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效益指标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社会效益指标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通过召开代表大会，更加紧密团结全区红十字专兼职工作者、理事、志愿者和会员，围绕党和政府的中心工作，保持和增强红十字组织的政治性、先进性和群众性，积极发挥红十字组织在人道公益领域的桥梁纽带和助手作用。</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08"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效益指标</w:t>
            </w:r>
          </w:p>
        </w:tc>
        <w:tc>
          <w:tcPr>
            <w:tcW w:w="344"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可持续影响指标</w:t>
            </w:r>
          </w:p>
        </w:tc>
        <w:tc>
          <w:tcPr>
            <w:tcW w:w="345"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本届理事、监事将在未来5年中积极发挥作用，共谋西城红十字事业发展。</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lang w:val="en-US" w:eastAsia="zh-CN" w:bidi="ar"/>
              </w:rPr>
              <w:t>定性</w:t>
            </w:r>
          </w:p>
        </w:tc>
        <w:tc>
          <w:tcPr>
            <w:tcW w:w="41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356"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2"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bl>
    <w:p/>
    <w:sectPr>
      <w:pgSz w:w="11906" w:h="16838"/>
      <w:pgMar w:top="1440" w:right="1797" w:bottom="1440" w:left="1797"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叶根友圆趣卡通体">
    <w:panose1 w:val="02010601030101010101"/>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正謙櫻桃小丸子字">
    <w:panose1 w:val="02010609000101010101"/>
    <w:charset w:val="00"/>
    <w:family w:val="auto"/>
    <w:pitch w:val="default"/>
    <w:sig w:usb0="00000000" w:usb1="00000000" w:usb2="00000000" w:usb3="00000000" w:csb0="00000000" w:csb1="00000000"/>
  </w:font>
  <w:font w:name="汉仪娃娃篆简">
    <w:panose1 w:val="02010604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44989486"/>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25</w:t>
        </w:r>
        <w:r>
          <w:rPr>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257013"/>
    </w:sdtPr>
    <w:sdtEndPr>
      <w:rPr>
        <w:sz w:val="28"/>
        <w:szCs w:val="28"/>
      </w:rPr>
    </w:sdtEndPr>
    <w:sdtContent>
      <w:p>
        <w:pPr>
          <w:pStyle w:val="7"/>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26</w:t>
        </w:r>
        <w:r>
          <w:rPr>
            <w:sz w:val="28"/>
            <w:szCs w:val="28"/>
          </w:rPr>
          <w:fldChar w:fldCharType="end"/>
        </w:r>
      </w:p>
    </w:sdtContent>
  </w:sdt>
  <w:p>
    <w:pPr>
      <w:pStyle w:val="7"/>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16"/>
    <w:rsid w:val="0000070D"/>
    <w:rsid w:val="00005ECA"/>
    <w:rsid w:val="00013B66"/>
    <w:rsid w:val="00025377"/>
    <w:rsid w:val="00032A5A"/>
    <w:rsid w:val="00036519"/>
    <w:rsid w:val="00054E17"/>
    <w:rsid w:val="00057080"/>
    <w:rsid w:val="00067C19"/>
    <w:rsid w:val="00077133"/>
    <w:rsid w:val="00086245"/>
    <w:rsid w:val="000A31CC"/>
    <w:rsid w:val="000A5A86"/>
    <w:rsid w:val="000A659A"/>
    <w:rsid w:val="000B11FA"/>
    <w:rsid w:val="000B2431"/>
    <w:rsid w:val="000B355E"/>
    <w:rsid w:val="000C23EF"/>
    <w:rsid w:val="000D313A"/>
    <w:rsid w:val="000E00E5"/>
    <w:rsid w:val="000E5FCE"/>
    <w:rsid w:val="000E623D"/>
    <w:rsid w:val="000F2F7D"/>
    <w:rsid w:val="001019CA"/>
    <w:rsid w:val="001112F8"/>
    <w:rsid w:val="001134B5"/>
    <w:rsid w:val="00113D69"/>
    <w:rsid w:val="001143B3"/>
    <w:rsid w:val="00122EB9"/>
    <w:rsid w:val="0012319E"/>
    <w:rsid w:val="00123E71"/>
    <w:rsid w:val="001272C0"/>
    <w:rsid w:val="0014729D"/>
    <w:rsid w:val="00163B54"/>
    <w:rsid w:val="00163CDF"/>
    <w:rsid w:val="001677DD"/>
    <w:rsid w:val="00173982"/>
    <w:rsid w:val="00176ECE"/>
    <w:rsid w:val="00182275"/>
    <w:rsid w:val="00183AD5"/>
    <w:rsid w:val="00185433"/>
    <w:rsid w:val="001929DA"/>
    <w:rsid w:val="00193836"/>
    <w:rsid w:val="0019476D"/>
    <w:rsid w:val="001B2570"/>
    <w:rsid w:val="001B291A"/>
    <w:rsid w:val="001B37E1"/>
    <w:rsid w:val="001E384B"/>
    <w:rsid w:val="001F0D77"/>
    <w:rsid w:val="001F188C"/>
    <w:rsid w:val="001F400C"/>
    <w:rsid w:val="001F488B"/>
    <w:rsid w:val="001F7A27"/>
    <w:rsid w:val="0020764C"/>
    <w:rsid w:val="00207C2D"/>
    <w:rsid w:val="00210316"/>
    <w:rsid w:val="00217B0F"/>
    <w:rsid w:val="0022380B"/>
    <w:rsid w:val="002243F4"/>
    <w:rsid w:val="00233B0F"/>
    <w:rsid w:val="00236972"/>
    <w:rsid w:val="00240394"/>
    <w:rsid w:val="0024108B"/>
    <w:rsid w:val="00241728"/>
    <w:rsid w:val="002428C3"/>
    <w:rsid w:val="00251542"/>
    <w:rsid w:val="002553CF"/>
    <w:rsid w:val="002611E8"/>
    <w:rsid w:val="00262CB9"/>
    <w:rsid w:val="00265C3D"/>
    <w:rsid w:val="002664C6"/>
    <w:rsid w:val="00271583"/>
    <w:rsid w:val="00273F1B"/>
    <w:rsid w:val="00277DBA"/>
    <w:rsid w:val="002810F2"/>
    <w:rsid w:val="00287AEF"/>
    <w:rsid w:val="002A60CC"/>
    <w:rsid w:val="002B22AA"/>
    <w:rsid w:val="002B6D99"/>
    <w:rsid w:val="002C20D7"/>
    <w:rsid w:val="002C3DD3"/>
    <w:rsid w:val="002D37E2"/>
    <w:rsid w:val="002D4B99"/>
    <w:rsid w:val="002E2C89"/>
    <w:rsid w:val="002F060C"/>
    <w:rsid w:val="002F3531"/>
    <w:rsid w:val="002F4E24"/>
    <w:rsid w:val="00301674"/>
    <w:rsid w:val="00304344"/>
    <w:rsid w:val="00305539"/>
    <w:rsid w:val="0031384F"/>
    <w:rsid w:val="003230BF"/>
    <w:rsid w:val="00324378"/>
    <w:rsid w:val="003277E7"/>
    <w:rsid w:val="003278B9"/>
    <w:rsid w:val="00330459"/>
    <w:rsid w:val="0034756D"/>
    <w:rsid w:val="00347B7F"/>
    <w:rsid w:val="00350C8B"/>
    <w:rsid w:val="00353345"/>
    <w:rsid w:val="0035627A"/>
    <w:rsid w:val="0035652B"/>
    <w:rsid w:val="00356C7D"/>
    <w:rsid w:val="00360B31"/>
    <w:rsid w:val="00362AD3"/>
    <w:rsid w:val="00371267"/>
    <w:rsid w:val="003741D7"/>
    <w:rsid w:val="00375611"/>
    <w:rsid w:val="00380CEF"/>
    <w:rsid w:val="00381630"/>
    <w:rsid w:val="00393A34"/>
    <w:rsid w:val="003A174F"/>
    <w:rsid w:val="003A44AB"/>
    <w:rsid w:val="003B7A4D"/>
    <w:rsid w:val="003C41AB"/>
    <w:rsid w:val="003C5857"/>
    <w:rsid w:val="003D36B2"/>
    <w:rsid w:val="003D4CAE"/>
    <w:rsid w:val="003E7CC4"/>
    <w:rsid w:val="00416205"/>
    <w:rsid w:val="0042188A"/>
    <w:rsid w:val="00427630"/>
    <w:rsid w:val="004347E1"/>
    <w:rsid w:val="00434976"/>
    <w:rsid w:val="004408BC"/>
    <w:rsid w:val="00440DAA"/>
    <w:rsid w:val="0044441D"/>
    <w:rsid w:val="004533F4"/>
    <w:rsid w:val="00454A1A"/>
    <w:rsid w:val="00457ADB"/>
    <w:rsid w:val="00472962"/>
    <w:rsid w:val="00474A2C"/>
    <w:rsid w:val="0047565A"/>
    <w:rsid w:val="0047791D"/>
    <w:rsid w:val="0048437E"/>
    <w:rsid w:val="004844F2"/>
    <w:rsid w:val="00484EC5"/>
    <w:rsid w:val="00491150"/>
    <w:rsid w:val="00494415"/>
    <w:rsid w:val="004A466B"/>
    <w:rsid w:val="004B5129"/>
    <w:rsid w:val="004B5B88"/>
    <w:rsid w:val="004C2A3C"/>
    <w:rsid w:val="004C570D"/>
    <w:rsid w:val="004D4B77"/>
    <w:rsid w:val="004D57F4"/>
    <w:rsid w:val="004E37DB"/>
    <w:rsid w:val="004E7A63"/>
    <w:rsid w:val="005004E9"/>
    <w:rsid w:val="00507393"/>
    <w:rsid w:val="00514057"/>
    <w:rsid w:val="005143D9"/>
    <w:rsid w:val="00514843"/>
    <w:rsid w:val="005156EB"/>
    <w:rsid w:val="0052306E"/>
    <w:rsid w:val="00524CF2"/>
    <w:rsid w:val="005259BB"/>
    <w:rsid w:val="00531399"/>
    <w:rsid w:val="00541801"/>
    <w:rsid w:val="00546415"/>
    <w:rsid w:val="005665F1"/>
    <w:rsid w:val="00566868"/>
    <w:rsid w:val="00570A09"/>
    <w:rsid w:val="00571A9A"/>
    <w:rsid w:val="00576AD8"/>
    <w:rsid w:val="00585FE0"/>
    <w:rsid w:val="0058718B"/>
    <w:rsid w:val="0059087A"/>
    <w:rsid w:val="00597439"/>
    <w:rsid w:val="005B206E"/>
    <w:rsid w:val="005C06BC"/>
    <w:rsid w:val="005C2169"/>
    <w:rsid w:val="005C4363"/>
    <w:rsid w:val="005D6998"/>
    <w:rsid w:val="005E1BA4"/>
    <w:rsid w:val="005E3FBA"/>
    <w:rsid w:val="005E7CD4"/>
    <w:rsid w:val="005F1B33"/>
    <w:rsid w:val="00600F22"/>
    <w:rsid w:val="00626DBC"/>
    <w:rsid w:val="0063372D"/>
    <w:rsid w:val="006403D1"/>
    <w:rsid w:val="00644FA0"/>
    <w:rsid w:val="00645F97"/>
    <w:rsid w:val="0065001F"/>
    <w:rsid w:val="0066021A"/>
    <w:rsid w:val="0066259B"/>
    <w:rsid w:val="00665CBB"/>
    <w:rsid w:val="006A3D73"/>
    <w:rsid w:val="006B62E2"/>
    <w:rsid w:val="006C0AE8"/>
    <w:rsid w:val="006C5075"/>
    <w:rsid w:val="006C6DD5"/>
    <w:rsid w:val="006D37A7"/>
    <w:rsid w:val="006D3EEF"/>
    <w:rsid w:val="006F79B6"/>
    <w:rsid w:val="00706024"/>
    <w:rsid w:val="00720330"/>
    <w:rsid w:val="00720662"/>
    <w:rsid w:val="00722688"/>
    <w:rsid w:val="00731F6E"/>
    <w:rsid w:val="00734A33"/>
    <w:rsid w:val="007368FA"/>
    <w:rsid w:val="00736EFA"/>
    <w:rsid w:val="0075471D"/>
    <w:rsid w:val="00757C60"/>
    <w:rsid w:val="007624AD"/>
    <w:rsid w:val="0077111C"/>
    <w:rsid w:val="00787F23"/>
    <w:rsid w:val="00795526"/>
    <w:rsid w:val="007A412C"/>
    <w:rsid w:val="007B1FF1"/>
    <w:rsid w:val="007C28A0"/>
    <w:rsid w:val="007C6018"/>
    <w:rsid w:val="007C6D8C"/>
    <w:rsid w:val="007D167D"/>
    <w:rsid w:val="007D538E"/>
    <w:rsid w:val="007E01C3"/>
    <w:rsid w:val="007E56F3"/>
    <w:rsid w:val="007F131D"/>
    <w:rsid w:val="007F41D5"/>
    <w:rsid w:val="008049A0"/>
    <w:rsid w:val="0080536D"/>
    <w:rsid w:val="0080621C"/>
    <w:rsid w:val="00812307"/>
    <w:rsid w:val="00812D1F"/>
    <w:rsid w:val="00814F70"/>
    <w:rsid w:val="008155C1"/>
    <w:rsid w:val="0081623A"/>
    <w:rsid w:val="00826E93"/>
    <w:rsid w:val="00841107"/>
    <w:rsid w:val="0084440F"/>
    <w:rsid w:val="0084667F"/>
    <w:rsid w:val="0084742B"/>
    <w:rsid w:val="00847567"/>
    <w:rsid w:val="00850600"/>
    <w:rsid w:val="00855602"/>
    <w:rsid w:val="00873E56"/>
    <w:rsid w:val="00874A7F"/>
    <w:rsid w:val="00876FD8"/>
    <w:rsid w:val="008815F5"/>
    <w:rsid w:val="008818DB"/>
    <w:rsid w:val="00882289"/>
    <w:rsid w:val="00882A70"/>
    <w:rsid w:val="0088372B"/>
    <w:rsid w:val="008863B8"/>
    <w:rsid w:val="00886838"/>
    <w:rsid w:val="008901FA"/>
    <w:rsid w:val="0089171B"/>
    <w:rsid w:val="00892F09"/>
    <w:rsid w:val="00895916"/>
    <w:rsid w:val="008B25EF"/>
    <w:rsid w:val="008C3837"/>
    <w:rsid w:val="008F3A07"/>
    <w:rsid w:val="008F73A0"/>
    <w:rsid w:val="00905664"/>
    <w:rsid w:val="009060F6"/>
    <w:rsid w:val="0090639D"/>
    <w:rsid w:val="0091576A"/>
    <w:rsid w:val="009164E2"/>
    <w:rsid w:val="00931B06"/>
    <w:rsid w:val="00944293"/>
    <w:rsid w:val="00955FD1"/>
    <w:rsid w:val="00957430"/>
    <w:rsid w:val="00961074"/>
    <w:rsid w:val="00963AB8"/>
    <w:rsid w:val="0096424D"/>
    <w:rsid w:val="0096642F"/>
    <w:rsid w:val="0097251E"/>
    <w:rsid w:val="00972663"/>
    <w:rsid w:val="009760CF"/>
    <w:rsid w:val="00997127"/>
    <w:rsid w:val="0099792F"/>
    <w:rsid w:val="009A018C"/>
    <w:rsid w:val="009A20CA"/>
    <w:rsid w:val="009A2FED"/>
    <w:rsid w:val="009A56D3"/>
    <w:rsid w:val="009A7381"/>
    <w:rsid w:val="009A74DB"/>
    <w:rsid w:val="009B0D5E"/>
    <w:rsid w:val="009C0BAF"/>
    <w:rsid w:val="009C3226"/>
    <w:rsid w:val="009D24E1"/>
    <w:rsid w:val="00A07794"/>
    <w:rsid w:val="00A10774"/>
    <w:rsid w:val="00A126CA"/>
    <w:rsid w:val="00A25F47"/>
    <w:rsid w:val="00A3273E"/>
    <w:rsid w:val="00A33037"/>
    <w:rsid w:val="00A41CF4"/>
    <w:rsid w:val="00A453DB"/>
    <w:rsid w:val="00A45F08"/>
    <w:rsid w:val="00A5523D"/>
    <w:rsid w:val="00A5666C"/>
    <w:rsid w:val="00A576E8"/>
    <w:rsid w:val="00A822C7"/>
    <w:rsid w:val="00A827A4"/>
    <w:rsid w:val="00A90968"/>
    <w:rsid w:val="00A916C0"/>
    <w:rsid w:val="00A91E4A"/>
    <w:rsid w:val="00A94B03"/>
    <w:rsid w:val="00AA528C"/>
    <w:rsid w:val="00AA7155"/>
    <w:rsid w:val="00AB103A"/>
    <w:rsid w:val="00AB4D04"/>
    <w:rsid w:val="00AB7858"/>
    <w:rsid w:val="00AB7C16"/>
    <w:rsid w:val="00AC69E6"/>
    <w:rsid w:val="00AD363A"/>
    <w:rsid w:val="00AE04C9"/>
    <w:rsid w:val="00AE211F"/>
    <w:rsid w:val="00AE2406"/>
    <w:rsid w:val="00AF25B6"/>
    <w:rsid w:val="00AF32CA"/>
    <w:rsid w:val="00AF7986"/>
    <w:rsid w:val="00B01621"/>
    <w:rsid w:val="00B0233E"/>
    <w:rsid w:val="00B11F16"/>
    <w:rsid w:val="00B15549"/>
    <w:rsid w:val="00B22540"/>
    <w:rsid w:val="00B25384"/>
    <w:rsid w:val="00B336CC"/>
    <w:rsid w:val="00B36FFF"/>
    <w:rsid w:val="00B4169C"/>
    <w:rsid w:val="00B512D7"/>
    <w:rsid w:val="00B52B7E"/>
    <w:rsid w:val="00B6251F"/>
    <w:rsid w:val="00B64488"/>
    <w:rsid w:val="00B64F49"/>
    <w:rsid w:val="00B65C2E"/>
    <w:rsid w:val="00B702BE"/>
    <w:rsid w:val="00B7657D"/>
    <w:rsid w:val="00B769C5"/>
    <w:rsid w:val="00B81FA5"/>
    <w:rsid w:val="00B96B0D"/>
    <w:rsid w:val="00BA08FC"/>
    <w:rsid w:val="00BA3C1D"/>
    <w:rsid w:val="00BB4B93"/>
    <w:rsid w:val="00BC4133"/>
    <w:rsid w:val="00BC5BD6"/>
    <w:rsid w:val="00BC7CA1"/>
    <w:rsid w:val="00BD2964"/>
    <w:rsid w:val="00BD4C7B"/>
    <w:rsid w:val="00BD67A1"/>
    <w:rsid w:val="00BE11E7"/>
    <w:rsid w:val="00BE3CCD"/>
    <w:rsid w:val="00BE43A1"/>
    <w:rsid w:val="00BE6C48"/>
    <w:rsid w:val="00BF32FB"/>
    <w:rsid w:val="00BF33A9"/>
    <w:rsid w:val="00BF724D"/>
    <w:rsid w:val="00C03A64"/>
    <w:rsid w:val="00C06307"/>
    <w:rsid w:val="00C06D55"/>
    <w:rsid w:val="00C113B3"/>
    <w:rsid w:val="00C1664D"/>
    <w:rsid w:val="00C22E23"/>
    <w:rsid w:val="00C23966"/>
    <w:rsid w:val="00C27B58"/>
    <w:rsid w:val="00C359B8"/>
    <w:rsid w:val="00C41DE7"/>
    <w:rsid w:val="00C44A19"/>
    <w:rsid w:val="00C46A2C"/>
    <w:rsid w:val="00C55948"/>
    <w:rsid w:val="00C6410B"/>
    <w:rsid w:val="00C72B02"/>
    <w:rsid w:val="00C81ACC"/>
    <w:rsid w:val="00C84C13"/>
    <w:rsid w:val="00C85F53"/>
    <w:rsid w:val="00C91A87"/>
    <w:rsid w:val="00CA017D"/>
    <w:rsid w:val="00CA5937"/>
    <w:rsid w:val="00CB5752"/>
    <w:rsid w:val="00CB7BBA"/>
    <w:rsid w:val="00CC1A15"/>
    <w:rsid w:val="00CD084C"/>
    <w:rsid w:val="00CD3778"/>
    <w:rsid w:val="00CD6432"/>
    <w:rsid w:val="00CD7338"/>
    <w:rsid w:val="00CE0739"/>
    <w:rsid w:val="00CE08FB"/>
    <w:rsid w:val="00CE65AC"/>
    <w:rsid w:val="00CE7035"/>
    <w:rsid w:val="00CF72E6"/>
    <w:rsid w:val="00CF764B"/>
    <w:rsid w:val="00D04366"/>
    <w:rsid w:val="00D07B2A"/>
    <w:rsid w:val="00D11755"/>
    <w:rsid w:val="00D26C51"/>
    <w:rsid w:val="00D319FF"/>
    <w:rsid w:val="00D358A0"/>
    <w:rsid w:val="00D428DE"/>
    <w:rsid w:val="00D42E8C"/>
    <w:rsid w:val="00D43D38"/>
    <w:rsid w:val="00D508FD"/>
    <w:rsid w:val="00D5291A"/>
    <w:rsid w:val="00D53457"/>
    <w:rsid w:val="00D55813"/>
    <w:rsid w:val="00D55B63"/>
    <w:rsid w:val="00D764B5"/>
    <w:rsid w:val="00D764E6"/>
    <w:rsid w:val="00D803CC"/>
    <w:rsid w:val="00D93447"/>
    <w:rsid w:val="00D95941"/>
    <w:rsid w:val="00DA0C2F"/>
    <w:rsid w:val="00DA14D1"/>
    <w:rsid w:val="00DB0A0D"/>
    <w:rsid w:val="00DB7664"/>
    <w:rsid w:val="00DC2C65"/>
    <w:rsid w:val="00DC3272"/>
    <w:rsid w:val="00DC3BC5"/>
    <w:rsid w:val="00DC4C66"/>
    <w:rsid w:val="00DD2025"/>
    <w:rsid w:val="00DD31ED"/>
    <w:rsid w:val="00DE1AB0"/>
    <w:rsid w:val="00DE4943"/>
    <w:rsid w:val="00DE6784"/>
    <w:rsid w:val="00DF13C3"/>
    <w:rsid w:val="00DF6EF3"/>
    <w:rsid w:val="00E06188"/>
    <w:rsid w:val="00E10A1E"/>
    <w:rsid w:val="00E16B28"/>
    <w:rsid w:val="00E25929"/>
    <w:rsid w:val="00E33FD7"/>
    <w:rsid w:val="00E35CB8"/>
    <w:rsid w:val="00E36A17"/>
    <w:rsid w:val="00E41C11"/>
    <w:rsid w:val="00E42CD7"/>
    <w:rsid w:val="00E45CB3"/>
    <w:rsid w:val="00E4725C"/>
    <w:rsid w:val="00E50BB8"/>
    <w:rsid w:val="00E57D98"/>
    <w:rsid w:val="00E60F1C"/>
    <w:rsid w:val="00E617F5"/>
    <w:rsid w:val="00E663E6"/>
    <w:rsid w:val="00E6785B"/>
    <w:rsid w:val="00E811F1"/>
    <w:rsid w:val="00E827F5"/>
    <w:rsid w:val="00E951AD"/>
    <w:rsid w:val="00EA34DE"/>
    <w:rsid w:val="00EA7B17"/>
    <w:rsid w:val="00ED1543"/>
    <w:rsid w:val="00ED4B40"/>
    <w:rsid w:val="00ED586B"/>
    <w:rsid w:val="00EE441C"/>
    <w:rsid w:val="00EF26F3"/>
    <w:rsid w:val="00EF3D43"/>
    <w:rsid w:val="00F049CE"/>
    <w:rsid w:val="00F12030"/>
    <w:rsid w:val="00F16387"/>
    <w:rsid w:val="00F24A83"/>
    <w:rsid w:val="00F2698A"/>
    <w:rsid w:val="00F417F1"/>
    <w:rsid w:val="00F43DBF"/>
    <w:rsid w:val="00F459A7"/>
    <w:rsid w:val="00F46B84"/>
    <w:rsid w:val="00F54762"/>
    <w:rsid w:val="00F56A11"/>
    <w:rsid w:val="00F60DAF"/>
    <w:rsid w:val="00F63194"/>
    <w:rsid w:val="00F63FCF"/>
    <w:rsid w:val="00F67A73"/>
    <w:rsid w:val="00F70F9C"/>
    <w:rsid w:val="00F818D6"/>
    <w:rsid w:val="00F91C72"/>
    <w:rsid w:val="00F9229F"/>
    <w:rsid w:val="00F94FD7"/>
    <w:rsid w:val="00F9767F"/>
    <w:rsid w:val="00FA4F5C"/>
    <w:rsid w:val="00FB0C50"/>
    <w:rsid w:val="00FC228D"/>
    <w:rsid w:val="00FD252A"/>
    <w:rsid w:val="00FD78B4"/>
    <w:rsid w:val="00FE739F"/>
    <w:rsid w:val="00FE7D03"/>
    <w:rsid w:val="00FF412B"/>
    <w:rsid w:val="014203D1"/>
    <w:rsid w:val="018A6381"/>
    <w:rsid w:val="01A30CA6"/>
    <w:rsid w:val="01F61121"/>
    <w:rsid w:val="01FD1236"/>
    <w:rsid w:val="024F12FE"/>
    <w:rsid w:val="03050704"/>
    <w:rsid w:val="043C5F8E"/>
    <w:rsid w:val="04911436"/>
    <w:rsid w:val="06374623"/>
    <w:rsid w:val="06FA19CE"/>
    <w:rsid w:val="074439C8"/>
    <w:rsid w:val="08313BA4"/>
    <w:rsid w:val="083919CE"/>
    <w:rsid w:val="09134173"/>
    <w:rsid w:val="0C5F3BAA"/>
    <w:rsid w:val="0C9E5B83"/>
    <w:rsid w:val="0CDE4668"/>
    <w:rsid w:val="0CE61018"/>
    <w:rsid w:val="0D6675EE"/>
    <w:rsid w:val="0D700D5F"/>
    <w:rsid w:val="0DE44C68"/>
    <w:rsid w:val="0DE76893"/>
    <w:rsid w:val="0E033729"/>
    <w:rsid w:val="0E08358A"/>
    <w:rsid w:val="0E760CAD"/>
    <w:rsid w:val="0EA01593"/>
    <w:rsid w:val="0F342C25"/>
    <w:rsid w:val="0F3C1EB4"/>
    <w:rsid w:val="0F6D3415"/>
    <w:rsid w:val="0F847388"/>
    <w:rsid w:val="0FB75AD9"/>
    <w:rsid w:val="0FEC13FA"/>
    <w:rsid w:val="11497474"/>
    <w:rsid w:val="11804DAB"/>
    <w:rsid w:val="12144465"/>
    <w:rsid w:val="13686657"/>
    <w:rsid w:val="14915B9D"/>
    <w:rsid w:val="14A443BC"/>
    <w:rsid w:val="16B006DE"/>
    <w:rsid w:val="16F93AC7"/>
    <w:rsid w:val="182F0174"/>
    <w:rsid w:val="184C6FDF"/>
    <w:rsid w:val="187E5FEC"/>
    <w:rsid w:val="18851DD9"/>
    <w:rsid w:val="18C5372C"/>
    <w:rsid w:val="19F92940"/>
    <w:rsid w:val="1A7F1B78"/>
    <w:rsid w:val="1B281149"/>
    <w:rsid w:val="1B766E81"/>
    <w:rsid w:val="1B87224B"/>
    <w:rsid w:val="1BB11AF5"/>
    <w:rsid w:val="1C716FE3"/>
    <w:rsid w:val="1D000E79"/>
    <w:rsid w:val="1D6A471D"/>
    <w:rsid w:val="1EB274F9"/>
    <w:rsid w:val="1F1A3617"/>
    <w:rsid w:val="1F4B68CC"/>
    <w:rsid w:val="20340B62"/>
    <w:rsid w:val="2074045F"/>
    <w:rsid w:val="210C6A10"/>
    <w:rsid w:val="21986266"/>
    <w:rsid w:val="22803E07"/>
    <w:rsid w:val="231C4773"/>
    <w:rsid w:val="23946814"/>
    <w:rsid w:val="245A7ECD"/>
    <w:rsid w:val="2463755B"/>
    <w:rsid w:val="24BF77D1"/>
    <w:rsid w:val="258C2605"/>
    <w:rsid w:val="25C81C55"/>
    <w:rsid w:val="26D73716"/>
    <w:rsid w:val="271A0E36"/>
    <w:rsid w:val="277C00F3"/>
    <w:rsid w:val="29612622"/>
    <w:rsid w:val="2A8703DF"/>
    <w:rsid w:val="2AB84B24"/>
    <w:rsid w:val="2ACD6E5A"/>
    <w:rsid w:val="2ACF4C27"/>
    <w:rsid w:val="2BD12855"/>
    <w:rsid w:val="2C197BFF"/>
    <w:rsid w:val="2C565711"/>
    <w:rsid w:val="2C892158"/>
    <w:rsid w:val="2CFC5D5A"/>
    <w:rsid w:val="2CFE0A73"/>
    <w:rsid w:val="2E1D3973"/>
    <w:rsid w:val="2EBE0643"/>
    <w:rsid w:val="2EF52125"/>
    <w:rsid w:val="2F636810"/>
    <w:rsid w:val="2FFC4408"/>
    <w:rsid w:val="310D63FE"/>
    <w:rsid w:val="321C437D"/>
    <w:rsid w:val="328D12A4"/>
    <w:rsid w:val="336729C5"/>
    <w:rsid w:val="3490464D"/>
    <w:rsid w:val="354F70FE"/>
    <w:rsid w:val="37023232"/>
    <w:rsid w:val="372F4799"/>
    <w:rsid w:val="37781BA5"/>
    <w:rsid w:val="381F0131"/>
    <w:rsid w:val="390025E6"/>
    <w:rsid w:val="391579FB"/>
    <w:rsid w:val="39AB6A48"/>
    <w:rsid w:val="39DB5F83"/>
    <w:rsid w:val="3A6F6283"/>
    <w:rsid w:val="3AE823CE"/>
    <w:rsid w:val="3B551709"/>
    <w:rsid w:val="3BD21F70"/>
    <w:rsid w:val="3C3D3176"/>
    <w:rsid w:val="3C6B59D1"/>
    <w:rsid w:val="3CE16CE8"/>
    <w:rsid w:val="3D257C7B"/>
    <w:rsid w:val="3D7E79F1"/>
    <w:rsid w:val="3DCB03A7"/>
    <w:rsid w:val="3E3100AD"/>
    <w:rsid w:val="3E447408"/>
    <w:rsid w:val="3E4D0AE9"/>
    <w:rsid w:val="3EAA4AF9"/>
    <w:rsid w:val="40480434"/>
    <w:rsid w:val="4094677F"/>
    <w:rsid w:val="41D63063"/>
    <w:rsid w:val="41E72ACE"/>
    <w:rsid w:val="42F4560B"/>
    <w:rsid w:val="437D26DC"/>
    <w:rsid w:val="45B47DEE"/>
    <w:rsid w:val="45D251D8"/>
    <w:rsid w:val="45F8448C"/>
    <w:rsid w:val="46224AC9"/>
    <w:rsid w:val="46BF5A68"/>
    <w:rsid w:val="46DA091D"/>
    <w:rsid w:val="473014C4"/>
    <w:rsid w:val="474F38BC"/>
    <w:rsid w:val="47842E74"/>
    <w:rsid w:val="47AE6F47"/>
    <w:rsid w:val="482E3EC8"/>
    <w:rsid w:val="486929ED"/>
    <w:rsid w:val="48A26623"/>
    <w:rsid w:val="49F42A9C"/>
    <w:rsid w:val="4A7E79D7"/>
    <w:rsid w:val="4AA63258"/>
    <w:rsid w:val="4B7A2A12"/>
    <w:rsid w:val="4B9E4ED4"/>
    <w:rsid w:val="4C1B2975"/>
    <w:rsid w:val="4C88763C"/>
    <w:rsid w:val="4D0E689A"/>
    <w:rsid w:val="4DC61B7E"/>
    <w:rsid w:val="4E733DF7"/>
    <w:rsid w:val="4EFB6F56"/>
    <w:rsid w:val="4F84386E"/>
    <w:rsid w:val="4FC12FCD"/>
    <w:rsid w:val="51081827"/>
    <w:rsid w:val="51675575"/>
    <w:rsid w:val="51FF0FAF"/>
    <w:rsid w:val="53464968"/>
    <w:rsid w:val="54F55E12"/>
    <w:rsid w:val="54FA12B7"/>
    <w:rsid w:val="55492752"/>
    <w:rsid w:val="561B14EA"/>
    <w:rsid w:val="58223CA7"/>
    <w:rsid w:val="58705404"/>
    <w:rsid w:val="58C92538"/>
    <w:rsid w:val="59C7415A"/>
    <w:rsid w:val="59D17B27"/>
    <w:rsid w:val="5BB206AB"/>
    <w:rsid w:val="5C994203"/>
    <w:rsid w:val="5DEE1399"/>
    <w:rsid w:val="5EB662D8"/>
    <w:rsid w:val="602A3154"/>
    <w:rsid w:val="606B349E"/>
    <w:rsid w:val="61994561"/>
    <w:rsid w:val="621E412A"/>
    <w:rsid w:val="62771E80"/>
    <w:rsid w:val="62B2513E"/>
    <w:rsid w:val="62B252F4"/>
    <w:rsid w:val="62F331E2"/>
    <w:rsid w:val="63A74535"/>
    <w:rsid w:val="646C13AF"/>
    <w:rsid w:val="64D577B1"/>
    <w:rsid w:val="65017861"/>
    <w:rsid w:val="65303AB3"/>
    <w:rsid w:val="657B13F8"/>
    <w:rsid w:val="65972B56"/>
    <w:rsid w:val="65BC7198"/>
    <w:rsid w:val="662F5CA4"/>
    <w:rsid w:val="66527633"/>
    <w:rsid w:val="66692AC0"/>
    <w:rsid w:val="66E45853"/>
    <w:rsid w:val="673E64B2"/>
    <w:rsid w:val="675E40E0"/>
    <w:rsid w:val="677B1BBD"/>
    <w:rsid w:val="677D7010"/>
    <w:rsid w:val="697E09D0"/>
    <w:rsid w:val="69D308BF"/>
    <w:rsid w:val="69E106C4"/>
    <w:rsid w:val="6A6D6F89"/>
    <w:rsid w:val="6AA642EE"/>
    <w:rsid w:val="6B625A72"/>
    <w:rsid w:val="6D232AE3"/>
    <w:rsid w:val="6E424E76"/>
    <w:rsid w:val="6ECD24F2"/>
    <w:rsid w:val="6FC91F0C"/>
    <w:rsid w:val="70754723"/>
    <w:rsid w:val="70B145D0"/>
    <w:rsid w:val="70DE2439"/>
    <w:rsid w:val="719C547C"/>
    <w:rsid w:val="71FA64F2"/>
    <w:rsid w:val="725B79F5"/>
    <w:rsid w:val="72BA3E75"/>
    <w:rsid w:val="74807ECA"/>
    <w:rsid w:val="75542A4A"/>
    <w:rsid w:val="756B1EDB"/>
    <w:rsid w:val="796E3EA9"/>
    <w:rsid w:val="79D030E6"/>
    <w:rsid w:val="79D044EF"/>
    <w:rsid w:val="7AE71ED8"/>
    <w:rsid w:val="7B0363E5"/>
    <w:rsid w:val="7BE57490"/>
    <w:rsid w:val="7C222D79"/>
    <w:rsid w:val="7C324A7E"/>
    <w:rsid w:val="7C487629"/>
    <w:rsid w:val="7D2D0A25"/>
    <w:rsid w:val="7D830F78"/>
    <w:rsid w:val="7E1532BF"/>
    <w:rsid w:val="7ED14D22"/>
    <w:rsid w:val="7F754BC9"/>
    <w:rsid w:val="7F8D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line="560" w:lineRule="exact"/>
      <w:jc w:val="center"/>
      <w:outlineLvl w:val="0"/>
    </w:pPr>
    <w:rPr>
      <w:rFonts w:eastAsia="黑体"/>
      <w:b/>
      <w:bCs/>
      <w:kern w:val="44"/>
      <w:sz w:val="32"/>
      <w:szCs w:val="44"/>
    </w:rPr>
  </w:style>
  <w:style w:type="paragraph" w:styleId="3">
    <w:name w:val="heading 2"/>
    <w:basedOn w:val="1"/>
    <w:next w:val="1"/>
    <w:link w:val="18"/>
    <w:unhideWhenUsed/>
    <w:qFormat/>
    <w:uiPriority w:val="9"/>
    <w:pPr>
      <w:keepNext/>
      <w:keepLines/>
      <w:spacing w:line="560" w:lineRule="exact"/>
      <w:ind w:firstLine="200" w:firstLineChars="200"/>
      <w:outlineLvl w:val="1"/>
    </w:pPr>
    <w:rPr>
      <w:rFonts w:eastAsia="仿宋" w:asciiTheme="majorHAnsi" w:hAnsiTheme="majorHAnsi" w:cstheme="majorBidi"/>
      <w:b/>
      <w:bCs/>
      <w:sz w:val="32"/>
      <w:szCs w:val="32"/>
    </w:rPr>
  </w:style>
  <w:style w:type="paragraph" w:styleId="4">
    <w:name w:val="heading 3"/>
    <w:basedOn w:val="1"/>
    <w:next w:val="1"/>
    <w:link w:val="19"/>
    <w:unhideWhenUsed/>
    <w:qFormat/>
    <w:uiPriority w:val="9"/>
    <w:pPr>
      <w:keepNext/>
      <w:keepLines/>
      <w:spacing w:line="560" w:lineRule="exact"/>
      <w:ind w:firstLine="200" w:firstLineChars="200"/>
      <w:outlineLvl w:val="2"/>
    </w:pPr>
    <w:rPr>
      <w:rFonts w:eastAsia="仿宋"/>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400" w:lineRule="exact"/>
    </w:pPr>
  </w:style>
  <w:style w:type="paragraph" w:styleId="10">
    <w:name w:val="toc 2"/>
    <w:basedOn w:val="1"/>
    <w:next w:val="1"/>
    <w:unhideWhenUsed/>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1 Char"/>
    <w:basedOn w:val="13"/>
    <w:link w:val="2"/>
    <w:qFormat/>
    <w:uiPriority w:val="9"/>
    <w:rPr>
      <w:rFonts w:eastAsia="黑体"/>
      <w:b/>
      <w:bCs/>
      <w:kern w:val="44"/>
      <w:sz w:val="32"/>
      <w:szCs w:val="44"/>
    </w:rPr>
  </w:style>
  <w:style w:type="character" w:customStyle="1" w:styleId="18">
    <w:name w:val="标题 2 Char"/>
    <w:basedOn w:val="13"/>
    <w:link w:val="3"/>
    <w:qFormat/>
    <w:uiPriority w:val="9"/>
    <w:rPr>
      <w:rFonts w:eastAsia="仿宋" w:asciiTheme="majorHAnsi" w:hAnsiTheme="majorHAnsi" w:cstheme="majorBidi"/>
      <w:b/>
      <w:bCs/>
      <w:sz w:val="32"/>
      <w:szCs w:val="32"/>
    </w:rPr>
  </w:style>
  <w:style w:type="character" w:customStyle="1" w:styleId="19">
    <w:name w:val="标题 3 Char"/>
    <w:basedOn w:val="13"/>
    <w:link w:val="4"/>
    <w:qFormat/>
    <w:uiPriority w:val="9"/>
    <w:rPr>
      <w:rFonts w:eastAsia="仿宋"/>
      <w:bCs/>
      <w:sz w:val="32"/>
      <w:szCs w:val="32"/>
    </w:rPr>
  </w:style>
  <w:style w:type="character" w:customStyle="1" w:styleId="20">
    <w:name w:val="批注框文本 Char"/>
    <w:basedOn w:val="13"/>
    <w:link w:val="6"/>
    <w:semiHidden/>
    <w:qFormat/>
    <w:uiPriority w:val="99"/>
    <w:rPr>
      <w:sz w:val="18"/>
      <w:szCs w:val="18"/>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default" w:ascii="Times New Roman" w:hAnsi="Times New Roman" w:cs="Times New Roman"/>
      <w:color w:val="000000"/>
      <w:sz w:val="24"/>
      <w:szCs w:val="24"/>
      <w:u w:val="none"/>
    </w:rPr>
  </w:style>
  <w:style w:type="character" w:customStyle="1" w:styleId="23">
    <w:name w:val="font61"/>
    <w:basedOn w:val="13"/>
    <w:qFormat/>
    <w:uiPriority w:val="0"/>
    <w:rPr>
      <w:rFonts w:hint="eastAsia" w:ascii="宋体" w:hAnsi="宋体" w:eastAsia="宋体" w:cs="宋体"/>
      <w:color w:val="000000"/>
      <w:sz w:val="24"/>
      <w:szCs w:val="24"/>
      <w:u w:val="none"/>
    </w:rPr>
  </w:style>
  <w:style w:type="character" w:customStyle="1" w:styleId="24">
    <w:name w:val="font21"/>
    <w:basedOn w:val="13"/>
    <w:uiPriority w:val="0"/>
    <w:rPr>
      <w:rFonts w:hint="eastAsia" w:ascii="宋体" w:hAnsi="宋体" w:eastAsia="宋体" w:cs="宋体"/>
      <w:color w:val="000000"/>
      <w:sz w:val="18"/>
      <w:szCs w:val="18"/>
      <w:u w:val="none"/>
    </w:rPr>
  </w:style>
  <w:style w:type="character" w:customStyle="1" w:styleId="25">
    <w:name w:val="font01"/>
    <w:basedOn w:val="1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43144-A659-495C-AB10-C38AD38AE2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2684</Words>
  <Characters>15299</Characters>
  <Lines>127</Lines>
  <Paragraphs>35</Paragraphs>
  <TotalTime>1</TotalTime>
  <ScaleCrop>false</ScaleCrop>
  <LinksUpToDate>false</LinksUpToDate>
  <CharactersWithSpaces>17948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2019-02-12T01:25:00Z</dcterms:created>
  <dc:creator>焦蕊</dc:creator>
  <cp:lastModifiedBy>陌上花开</cp:lastModifiedBy>
  <cp:lastPrinted>2022-01-18T07:49:00Z</cp:lastPrinted>
  <dcterms:modified xsi:type="dcterms:W3CDTF">2022-01-19T08:09:39Z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