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Theme="minorEastAsia"/>
          <w:sz w:val="44"/>
          <w:szCs w:val="44"/>
          <w:lang w:val="en-US" w:eastAsia="zh-CN"/>
        </w:rPr>
      </w:pPr>
      <w:r>
        <w:rPr>
          <w:rFonts w:hint="eastAsia" w:ascii="宋体" w:hAnsi="宋体"/>
          <w:sz w:val="44"/>
          <w:szCs w:val="44"/>
        </w:rPr>
        <w:t>中国共产主义青年团北京市西城区</w:t>
      </w:r>
      <w:r>
        <w:rPr>
          <w:rFonts w:hint="eastAsia" w:ascii="宋体" w:hAnsi="宋体"/>
          <w:sz w:val="44"/>
          <w:szCs w:val="44"/>
          <w:lang w:val="en-US" w:eastAsia="zh-CN"/>
        </w:rPr>
        <w:t>委员会</w:t>
      </w:r>
    </w:p>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Times New Roman"/>
          <w:sz w:val="44"/>
          <w:szCs w:val="44"/>
        </w:rPr>
      </w:pPr>
      <w:r>
        <w:rPr>
          <w:rFonts w:hint="eastAsia" w:ascii="宋体" w:hAnsi="宋体" w:eastAsia="宋体" w:cs="Times New Roman"/>
          <w:sz w:val="44"/>
          <w:szCs w:val="44"/>
        </w:rPr>
        <w:t>2022年部门预算公开目录</w:t>
      </w:r>
    </w:p>
    <w:p>
      <w:pPr>
        <w:keepNext w:val="0"/>
        <w:keepLines w:val="0"/>
        <w:pageBreakBefore w:val="0"/>
        <w:widowControl w:val="0"/>
        <w:kinsoku/>
        <w:wordWrap/>
        <w:overflowPunct/>
        <w:topLinePunct w:val="0"/>
        <w:bidi w:val="0"/>
        <w:snapToGrid/>
        <w:spacing w:line="560" w:lineRule="exact"/>
        <w:textAlignment w:val="auto"/>
        <w:rPr>
          <w:rFonts w:ascii="宋体" w:hAnsi="宋体" w:eastAsia="宋体" w:cs="Times New Roman"/>
          <w:b/>
          <w:sz w:val="28"/>
          <w:szCs w:val="28"/>
        </w:rPr>
      </w:pPr>
    </w:p>
    <w:p>
      <w:pPr>
        <w:keepNext w:val="0"/>
        <w:keepLines w:val="0"/>
        <w:pageBreakBefore w:val="0"/>
        <w:widowControl w:val="0"/>
        <w:kinsoku/>
        <w:wordWrap/>
        <w:overflowPunct/>
        <w:topLinePunct w:val="0"/>
        <w:bidi w:val="0"/>
        <w:snapToGrid/>
        <w:spacing w:line="560" w:lineRule="exact"/>
        <w:ind w:firstLine="320" w:firstLineChars="1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第一部分</w:t>
      </w:r>
      <w:r>
        <w:rPr>
          <w:rFonts w:hint="eastAsia" w:ascii="仿宋_GB2312" w:hAnsi="Calibri" w:eastAsia="仿宋_GB2312" w:cs="Times New Roman"/>
          <w:color w:val="000000"/>
          <w:sz w:val="32"/>
          <w:szCs w:val="32"/>
          <w:lang w:val="en-US" w:eastAsia="zh-CN"/>
        </w:rPr>
        <w:t xml:space="preserve">  </w:t>
      </w:r>
      <w:r>
        <w:rPr>
          <w:rFonts w:hint="eastAsia" w:ascii="仿宋_GB2312" w:hAnsi="Calibri" w:eastAsia="仿宋_GB2312" w:cs="Times New Roman"/>
          <w:color w:val="000000"/>
          <w:sz w:val="32"/>
          <w:szCs w:val="32"/>
        </w:rPr>
        <w:t>2022年</w:t>
      </w:r>
      <w:r>
        <w:rPr>
          <w:rFonts w:ascii="仿宋_GB2312" w:hAnsi="Calibri" w:eastAsia="仿宋_GB2312" w:cs="Times New Roman"/>
          <w:color w:val="000000"/>
          <w:sz w:val="32"/>
          <w:szCs w:val="32"/>
        </w:rPr>
        <w:t>部门预算情况说明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ascii="仿宋_GB2312" w:hAnsi="Calibri" w:eastAsia="仿宋_GB2312" w:cs="Times New Roman"/>
          <w:color w:val="000000"/>
          <w:sz w:val="32"/>
          <w:szCs w:val="32"/>
        </w:rPr>
        <w:t xml:space="preserve"> </w:t>
      </w:r>
      <w:r>
        <w:rPr>
          <w:rFonts w:hint="eastAsia" w:ascii="仿宋_GB2312" w:hAnsi="Calibri" w:eastAsia="仿宋_GB2312" w:cs="Times New Roman"/>
          <w:color w:val="000000"/>
          <w:sz w:val="32"/>
          <w:szCs w:val="32"/>
        </w:rPr>
        <w:t>一</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部门主要职责及机构设置情况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（一）部门</w:t>
      </w:r>
      <w:r>
        <w:rPr>
          <w:rFonts w:ascii="仿宋_GB2312" w:hAnsi="Calibri" w:eastAsia="仿宋_GB2312" w:cs="Times New Roman"/>
          <w:color w:val="000000"/>
          <w:sz w:val="32"/>
          <w:szCs w:val="32"/>
        </w:rPr>
        <w:t>机构设置、职责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（二）人员</w:t>
      </w:r>
      <w:r>
        <w:rPr>
          <w:rFonts w:ascii="仿宋_GB2312" w:hAnsi="Calibri" w:eastAsia="仿宋_GB2312" w:cs="Times New Roman"/>
          <w:color w:val="000000"/>
          <w:sz w:val="32"/>
          <w:szCs w:val="32"/>
        </w:rPr>
        <w:t>构成情况</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2022年部门预算收支及增减变化情况说明</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三</w:t>
      </w:r>
      <w:r>
        <w:rPr>
          <w:rFonts w:ascii="仿宋_GB2312" w:hAnsi="Calibri" w:eastAsia="仿宋_GB2312" w:cs="Times New Roman"/>
          <w:color w:val="000000"/>
          <w:sz w:val="32"/>
          <w:szCs w:val="32"/>
        </w:rPr>
        <w:t>、主要支出情况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四、</w:t>
      </w:r>
      <w:r>
        <w:rPr>
          <w:rFonts w:ascii="仿宋_GB2312" w:hAnsi="Calibri" w:eastAsia="仿宋_GB2312" w:cs="Times New Roman"/>
          <w:color w:val="000000"/>
          <w:sz w:val="32"/>
          <w:szCs w:val="32"/>
        </w:rPr>
        <w:t>部门“</w:t>
      </w:r>
      <w:r>
        <w:rPr>
          <w:rFonts w:hint="eastAsia" w:ascii="仿宋_GB2312" w:hAnsi="Calibri" w:eastAsia="仿宋_GB2312" w:cs="Times New Roman"/>
          <w:color w:val="000000"/>
          <w:sz w:val="32"/>
          <w:szCs w:val="32"/>
        </w:rPr>
        <w:t>三公</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经费</w:t>
      </w:r>
      <w:r>
        <w:rPr>
          <w:rFonts w:ascii="仿宋_GB2312" w:hAnsi="Calibri" w:eastAsia="仿宋_GB2312" w:cs="Times New Roman"/>
          <w:color w:val="000000"/>
          <w:sz w:val="32"/>
          <w:szCs w:val="32"/>
        </w:rPr>
        <w:t>财政拨款预算说明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三公</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经费的</w:t>
      </w:r>
      <w:r>
        <w:rPr>
          <w:rFonts w:ascii="仿宋_GB2312" w:hAnsi="Calibri" w:eastAsia="仿宋_GB2312" w:cs="Times New Roman"/>
          <w:color w:val="000000"/>
          <w:sz w:val="32"/>
          <w:szCs w:val="32"/>
        </w:rPr>
        <w:t>单位</w:t>
      </w:r>
      <w:r>
        <w:rPr>
          <w:rFonts w:hint="eastAsia" w:ascii="仿宋_GB2312" w:hAnsi="Calibri" w:eastAsia="仿宋_GB2312" w:cs="Times New Roman"/>
          <w:color w:val="000000"/>
          <w:sz w:val="32"/>
          <w:szCs w:val="32"/>
        </w:rPr>
        <w:t>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三公</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经费预算财政</w:t>
      </w:r>
      <w:r>
        <w:rPr>
          <w:rFonts w:ascii="仿宋_GB2312" w:hAnsi="Calibri" w:eastAsia="仿宋_GB2312" w:cs="Times New Roman"/>
          <w:color w:val="000000"/>
          <w:sz w:val="32"/>
          <w:szCs w:val="32"/>
        </w:rPr>
        <w:t>拨款情况</w:t>
      </w:r>
      <w:r>
        <w:rPr>
          <w:rFonts w:hint="eastAsia" w:ascii="仿宋_GB2312" w:hAnsi="Calibri" w:eastAsia="仿宋_GB2312" w:cs="Times New Roman"/>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ascii="仿宋_GB2312" w:hAnsi="Calibri" w:eastAsia="仿宋_GB2312" w:cs="Times New Roman"/>
          <w:color w:val="000000"/>
          <w:sz w:val="32"/>
          <w:szCs w:val="32"/>
        </w:rPr>
        <w:t xml:space="preserve"> </w:t>
      </w:r>
      <w:r>
        <w:rPr>
          <w:rFonts w:hint="eastAsia" w:ascii="仿宋_GB2312" w:hAnsi="Calibri" w:eastAsia="仿宋_GB2312" w:cs="Times New Roman"/>
          <w:color w:val="000000"/>
          <w:sz w:val="32"/>
          <w:szCs w:val="32"/>
        </w:rPr>
        <w:t>五</w:t>
      </w:r>
      <w:r>
        <w:rPr>
          <w:rFonts w:ascii="仿宋_GB2312" w:hAnsi="Calibri" w:eastAsia="仿宋_GB2312" w:cs="Times New Roman"/>
          <w:color w:val="000000"/>
          <w:sz w:val="32"/>
          <w:szCs w:val="32"/>
        </w:rPr>
        <w:t>、其他情况说明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（一）机构运行经费</w:t>
      </w:r>
      <w:r>
        <w:rPr>
          <w:rFonts w:ascii="仿宋_GB2312" w:hAnsi="Calibri" w:eastAsia="仿宋_GB2312" w:cs="Times New Roman"/>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（二）政府</w:t>
      </w:r>
      <w:r>
        <w:rPr>
          <w:rFonts w:ascii="仿宋_GB2312" w:hAnsi="Calibri" w:eastAsia="仿宋_GB2312" w:cs="Times New Roman"/>
          <w:color w:val="000000"/>
          <w:sz w:val="32"/>
          <w:szCs w:val="32"/>
        </w:rPr>
        <w:t>采购预算说明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（三）政府购买服务</w:t>
      </w:r>
      <w:r>
        <w:rPr>
          <w:rFonts w:ascii="仿宋_GB2312" w:hAnsi="Calibri" w:eastAsia="仿宋_GB2312" w:cs="Times New Roman"/>
          <w:color w:val="000000"/>
          <w:sz w:val="32"/>
          <w:szCs w:val="32"/>
        </w:rPr>
        <w:t>预算说明</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（四）</w:t>
      </w:r>
      <w:r>
        <w:rPr>
          <w:rFonts w:ascii="仿宋_GB2312" w:hAnsi="Calibri" w:eastAsia="仿宋_GB2312" w:cs="Times New Roman"/>
          <w:color w:val="000000"/>
          <w:sz w:val="32"/>
          <w:szCs w:val="32"/>
        </w:rPr>
        <w:t>绩效目标情况</w:t>
      </w:r>
      <w:r>
        <w:rPr>
          <w:rFonts w:hint="eastAsia" w:ascii="仿宋_GB2312" w:hAnsi="Calibri" w:eastAsia="仿宋_GB2312" w:cs="Times New Roman"/>
          <w:color w:val="000000"/>
          <w:sz w:val="32"/>
          <w:szCs w:val="32"/>
        </w:rPr>
        <w:t>及绩效评</w:t>
      </w:r>
      <w:bookmarkStart w:id="4" w:name="_GoBack"/>
      <w:bookmarkEnd w:id="4"/>
      <w:r>
        <w:rPr>
          <w:rFonts w:hint="eastAsia" w:ascii="仿宋_GB2312" w:hAnsi="Calibri" w:eastAsia="仿宋_GB2312" w:cs="Times New Roman"/>
          <w:color w:val="000000"/>
          <w:sz w:val="32"/>
          <w:szCs w:val="32"/>
        </w:rPr>
        <w:t>价结果</w:t>
      </w:r>
      <w:r>
        <w:rPr>
          <w:rFonts w:ascii="仿宋_GB2312" w:hAnsi="Calibri" w:eastAsia="仿宋_GB2312" w:cs="Times New Roman"/>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（五）国有</w:t>
      </w:r>
      <w:r>
        <w:rPr>
          <w:rFonts w:ascii="仿宋_GB2312" w:hAnsi="Calibri" w:eastAsia="仿宋_GB2312" w:cs="Times New Roman"/>
          <w:color w:val="000000"/>
          <w:sz w:val="32"/>
          <w:szCs w:val="32"/>
        </w:rPr>
        <w:t>资本经营预算财政拨款</w:t>
      </w:r>
      <w:r>
        <w:rPr>
          <w:rFonts w:hint="eastAsia" w:ascii="仿宋_GB2312" w:hAnsi="Calibri" w:eastAsia="仿宋_GB2312" w:cs="Times New Roman"/>
          <w:color w:val="000000"/>
          <w:sz w:val="32"/>
          <w:szCs w:val="32"/>
        </w:rPr>
        <w:t>情况</w:t>
      </w:r>
      <w:r>
        <w:rPr>
          <w:rFonts w:ascii="仿宋_GB2312" w:hAnsi="Calibri" w:eastAsia="仿宋_GB2312" w:cs="Times New Roman"/>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（六）国有资产</w:t>
      </w:r>
      <w:r>
        <w:rPr>
          <w:rFonts w:ascii="仿宋_GB2312" w:hAnsi="Calibri" w:eastAsia="仿宋_GB2312" w:cs="Times New Roman"/>
          <w:color w:val="000000"/>
          <w:sz w:val="32"/>
          <w:szCs w:val="32"/>
        </w:rPr>
        <w:t>占用情况说明</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六</w:t>
      </w:r>
      <w:r>
        <w:rPr>
          <w:rFonts w:ascii="仿宋_GB2312" w:hAnsi="Calibri" w:eastAsia="仿宋_GB2312" w:cs="Times New Roman"/>
          <w:color w:val="000000"/>
          <w:sz w:val="32"/>
          <w:szCs w:val="32"/>
        </w:rPr>
        <w:t>、名称</w:t>
      </w:r>
      <w:r>
        <w:rPr>
          <w:rFonts w:hint="eastAsia" w:ascii="仿宋_GB2312" w:hAnsi="Calibri" w:eastAsia="仿宋_GB2312" w:cs="Times New Roman"/>
          <w:color w:val="000000"/>
          <w:sz w:val="32"/>
          <w:szCs w:val="32"/>
        </w:rPr>
        <w:t>解释</w:t>
      </w:r>
    </w:p>
    <w:p>
      <w:pPr>
        <w:keepNext w:val="0"/>
        <w:keepLines w:val="0"/>
        <w:pageBreakBefore w:val="0"/>
        <w:widowControl w:val="0"/>
        <w:kinsoku/>
        <w:wordWrap/>
        <w:overflowPunct/>
        <w:topLinePunct w:val="0"/>
        <w:bidi w:val="0"/>
        <w:snapToGrid/>
        <w:spacing w:line="560" w:lineRule="exact"/>
        <w:ind w:firstLine="320" w:firstLineChars="100"/>
        <w:textAlignment w:val="auto"/>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第二部分</w:t>
      </w:r>
      <w:r>
        <w:rPr>
          <w:rFonts w:hint="eastAsia" w:ascii="仿宋_GB2312" w:hAnsi="Calibri" w:eastAsia="仿宋_GB2312" w:cs="Times New Roman"/>
          <w:color w:val="000000"/>
          <w:sz w:val="32"/>
          <w:szCs w:val="32"/>
          <w:lang w:val="en-US" w:eastAsia="zh-CN"/>
        </w:rPr>
        <w:t xml:space="preserve">  </w:t>
      </w:r>
      <w:r>
        <w:rPr>
          <w:rFonts w:hint="eastAsia" w:ascii="仿宋_GB2312" w:hAnsi="Calibri" w:eastAsia="仿宋_GB2312" w:cs="Times New Roman"/>
          <w:color w:val="000000"/>
          <w:sz w:val="32"/>
          <w:szCs w:val="32"/>
        </w:rPr>
        <w:t>2022年部门预算表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宋体"/>
          <w:color w:val="000000"/>
          <w:kern w:val="0"/>
          <w:sz w:val="32"/>
          <w:szCs w:val="32"/>
          <w:lang w:val="zh-CN"/>
        </w:rPr>
      </w:pPr>
      <w:r>
        <w:rPr>
          <w:rFonts w:hint="eastAsia" w:ascii="仿宋_GB2312" w:hAnsi="Calibri" w:eastAsia="仿宋_GB2312" w:cs="宋体"/>
          <w:color w:val="000000"/>
          <w:kern w:val="0"/>
          <w:sz w:val="32"/>
          <w:szCs w:val="32"/>
          <w:lang w:val="zh-CN"/>
        </w:rPr>
        <w:t xml:space="preserve">表一、部门收支总体情况表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表二、部门收入总体情况表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表三、部门支出总体情况表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表四、项目支出表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表五、财政拨款收支总体情况表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表六、一般公共预算支出情况表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表七、一般公共预算基本支出情况表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表九、国有资本经营预算财政拨款支出表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表十一、政府购买服务预算表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表十二、上级转移支付细化明细表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表十三、部门整体支出绩效目标申报表</w:t>
      </w:r>
      <w:r>
        <w:rPr>
          <w:rFonts w:hint="eastAsia" w:ascii="仿宋_GB2312" w:hAnsi="Calibri" w:eastAsia="仿宋_GB2312" w:cs="Times New Roman"/>
          <w:sz w:val="32"/>
          <w:szCs w:val="32"/>
          <w:lang w:eastAsia="zh-CN"/>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表十四、项目支出绩效目标申报表</w:t>
      </w:r>
      <w:r>
        <w:rPr>
          <w:rFonts w:hint="eastAsia" w:ascii="仿宋_GB2312" w:hAnsi="Calibri" w:eastAsia="仿宋_GB2312" w:cs="Times New Roman"/>
          <w:sz w:val="32"/>
          <w:szCs w:val="32"/>
          <w:lang w:eastAsia="zh-CN"/>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color w:val="000000"/>
          <w:sz w:val="44"/>
          <w:szCs w:val="44"/>
        </w:rPr>
      </w:pPr>
    </w:p>
    <w:p>
      <w:pPr>
        <w:keepNext w:val="0"/>
        <w:keepLines w:val="0"/>
        <w:pageBreakBefore w:val="0"/>
        <w:widowControl w:val="0"/>
        <w:numPr>
          <w:ilvl w:val="0"/>
          <w:numId w:val="1"/>
        </w:numPr>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b w:val="0"/>
          <w:bCs w:val="0"/>
          <w:color w:val="000000"/>
          <w:sz w:val="44"/>
          <w:szCs w:val="44"/>
        </w:rPr>
      </w:pPr>
      <w:r>
        <w:rPr>
          <w:rFonts w:hint="eastAsia" w:ascii="楷体_GB2312" w:hAnsi="楷体_GB2312" w:eastAsia="楷体_GB2312" w:cs="楷体_GB2312"/>
          <w:b w:val="0"/>
          <w:bCs w:val="0"/>
          <w:color w:val="000000"/>
          <w:sz w:val="44"/>
          <w:szCs w:val="44"/>
          <w:lang w:val="en-US" w:eastAsia="zh-CN"/>
        </w:rPr>
        <w:t xml:space="preserve"> </w:t>
      </w:r>
      <w:r>
        <w:rPr>
          <w:rFonts w:hint="eastAsia" w:ascii="楷体_GB2312" w:hAnsi="楷体_GB2312" w:eastAsia="楷体_GB2312" w:cs="楷体_GB2312"/>
          <w:b w:val="0"/>
          <w:bCs w:val="0"/>
          <w:color w:val="000000"/>
          <w:sz w:val="44"/>
          <w:szCs w:val="44"/>
        </w:rPr>
        <w:t>2022年部门预算情况说明</w:t>
      </w:r>
    </w:p>
    <w:p>
      <w:pPr>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楷体_GB2312" w:hAnsi="楷体_GB2312" w:eastAsia="楷体_GB2312" w:cs="楷体_GB2312"/>
          <w:b w:val="0"/>
          <w:bCs w:val="0"/>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 一、部门主要职责及机构设置情况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（一）部门</w:t>
      </w:r>
      <w:r>
        <w:rPr>
          <w:rFonts w:ascii="楷体" w:hAnsi="楷体" w:eastAsia="楷体" w:cs="Times New Roman"/>
          <w:color w:val="000000"/>
          <w:sz w:val="32"/>
          <w:szCs w:val="32"/>
        </w:rPr>
        <w:t>机构设置、职责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北京市西城区委员会是北京市西城区各级团组织的领导机关，内设办公室、组织部（社会部）、宣传部、统战部、权益部5个科室，所属事业单位北京市西城区志愿服务指导中心，其主要职责是：</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1.领导全区共青团工作，组织全区共青团组织围绕首都改革、发展、稳定大局开展工作，在区域政治、经济、社会、文化建设中积极发挥党的助手作用。 </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2.围绕区委、区政府中心工作，推进全区青少年精神文明建设；负责指导并组织实施全区青少年的思想理论教育、宣传文化活动。</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3.负责全区共青团工作和青年工作的理论研究；向区委、区政府反映青少年思想状况，参与协调处理各种与青少年权益相关的工作。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4.负责研究指导全区团的组织建设和干部队伍建设，推进全区团的基层组织建设；协助有关部门开展青年人力资源开发工作。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5.负责全区青年统战工作，指导区青联和区少先队工作委员会开展工作。负责全区青少年对外交流工作。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6.统筹协调和指导全区志愿服务工作。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7.承办区委、区政府和上级业务指导部门交办的其他事项。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（二）人员</w:t>
      </w:r>
      <w:r>
        <w:rPr>
          <w:rFonts w:ascii="楷体" w:hAnsi="楷体" w:eastAsia="楷体" w:cs="Times New Roman"/>
          <w:color w:val="000000"/>
          <w:sz w:val="32"/>
          <w:szCs w:val="32"/>
        </w:rPr>
        <w:t>构成情况</w:t>
      </w:r>
    </w:p>
    <w:p>
      <w:pPr>
        <w:keepNext w:val="0"/>
        <w:keepLines w:val="0"/>
        <w:pageBreakBefore w:val="0"/>
        <w:widowControl w:val="0"/>
        <w:kinsoku/>
        <w:wordWrap/>
        <w:overflowPunct/>
        <w:topLinePunct w:val="0"/>
        <w:bidi w:val="0"/>
        <w:snapToGrid/>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西城团区委行政编制19人，事业编制14人，工勤编制2名；在职人员</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人（不含工勤人员），长休人员1人，工勤人员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人。离退休人员2人，其中：离休0人，退休2人。</w:t>
      </w:r>
    </w:p>
    <w:p>
      <w:pPr>
        <w:keepNext w:val="0"/>
        <w:keepLines w:val="0"/>
        <w:pageBreakBefore w:val="0"/>
        <w:widowControl w:val="0"/>
        <w:kinsoku/>
        <w:wordWrap/>
        <w:overflowPunct/>
        <w:topLinePunct w:val="0"/>
        <w:bidi w:val="0"/>
        <w:snapToGrid/>
        <w:spacing w:line="560" w:lineRule="exact"/>
        <w:ind w:firstLine="555"/>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二、2022年部门预算收支及增减变化情况说明</w:t>
      </w:r>
    </w:p>
    <w:p>
      <w:pPr>
        <w:keepNext w:val="0"/>
        <w:keepLines w:val="0"/>
        <w:pageBreakBefore w:val="0"/>
        <w:widowControl w:val="0"/>
        <w:kinsoku/>
        <w:wordWrap/>
        <w:overflowPunct/>
        <w:topLinePunct w:val="0"/>
        <w:bidi w:val="0"/>
        <w:snapToGrid/>
        <w:spacing w:line="560" w:lineRule="exact"/>
        <w:ind w:firstLine="555"/>
        <w:textAlignment w:val="auto"/>
        <w:rPr>
          <w:rFonts w:ascii="楷体" w:hAnsi="楷体" w:eastAsia="楷体" w:cs="仿宋_GB2312"/>
          <w:bCs/>
          <w:sz w:val="32"/>
          <w:szCs w:val="32"/>
        </w:rPr>
      </w:pPr>
      <w:r>
        <w:rPr>
          <w:rFonts w:hint="eastAsia" w:ascii="楷体" w:hAnsi="楷体" w:eastAsia="楷体" w:cs="仿宋_GB2312"/>
          <w:bCs/>
          <w:sz w:val="32"/>
          <w:szCs w:val="32"/>
        </w:rPr>
        <w:t>（一）收入预算说明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2022年收入预算</w:t>
      </w:r>
      <w:r>
        <w:rPr>
          <w:rFonts w:hint="eastAsia" w:ascii="仿宋_GB2312" w:hAnsi="仿宋_GB2312" w:eastAsia="仿宋_GB2312" w:cs="仿宋_GB2312"/>
          <w:b w:val="0"/>
          <w:bCs w:val="0"/>
          <w:color w:val="000000"/>
          <w:kern w:val="0"/>
          <w:sz w:val="32"/>
          <w:szCs w:val="32"/>
        </w:rPr>
        <w:t>25280608.82元。</w:t>
      </w:r>
      <w:r>
        <w:rPr>
          <w:rFonts w:hint="eastAsia" w:ascii="仿宋_GB2312" w:hAnsi="仿宋_GB2312" w:eastAsia="仿宋_GB2312" w:cs="仿宋_GB2312"/>
          <w:b w:val="0"/>
          <w:bCs w:val="0"/>
          <w:sz w:val="32"/>
          <w:szCs w:val="32"/>
        </w:rPr>
        <w:t>其中：财政拨款收入</w:t>
      </w:r>
      <w:r>
        <w:rPr>
          <w:rFonts w:hint="eastAsia" w:ascii="仿宋_GB2312" w:hAnsi="仿宋_GB2312" w:eastAsia="仿宋_GB2312" w:cs="仿宋_GB2312"/>
          <w:b w:val="0"/>
          <w:bCs w:val="0"/>
          <w:color w:val="000000"/>
          <w:kern w:val="0"/>
          <w:sz w:val="32"/>
          <w:szCs w:val="32"/>
        </w:rPr>
        <w:t>25280608.82元</w:t>
      </w:r>
      <w:r>
        <w:rPr>
          <w:rFonts w:hint="eastAsia" w:ascii="仿宋_GB2312" w:hAnsi="仿宋_GB2312" w:eastAsia="仿宋_GB2312" w:cs="仿宋_GB2312"/>
          <w:b w:val="0"/>
          <w:bCs w:val="0"/>
          <w:sz w:val="32"/>
          <w:szCs w:val="32"/>
        </w:rPr>
        <w:t>。上年结转0元，政府性基金收入预算0元，</w:t>
      </w:r>
      <w:r>
        <w:rPr>
          <w:rFonts w:hint="eastAsia" w:ascii="仿宋_GB2312" w:hAnsi="仿宋_GB2312" w:eastAsia="仿宋_GB2312" w:cs="仿宋_GB2312"/>
          <w:b w:val="0"/>
          <w:bCs w:val="0"/>
          <w:sz w:val="32"/>
          <w:szCs w:val="30"/>
        </w:rPr>
        <w:t>市级提前下达专项转移支付项目资金安排0元。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2022年收入预算</w:t>
      </w:r>
      <w:r>
        <w:rPr>
          <w:rFonts w:hint="eastAsia" w:ascii="仿宋_GB2312" w:hAnsi="仿宋_GB2312" w:eastAsia="仿宋_GB2312" w:cs="仿宋_GB2312"/>
          <w:b w:val="0"/>
          <w:bCs w:val="0"/>
          <w:color w:val="000000"/>
          <w:kern w:val="0"/>
          <w:sz w:val="32"/>
          <w:szCs w:val="32"/>
        </w:rPr>
        <w:t>25280608.82元</w:t>
      </w:r>
      <w:r>
        <w:rPr>
          <w:rFonts w:hint="eastAsia" w:ascii="仿宋_GB2312" w:hAnsi="仿宋_GB2312" w:eastAsia="仿宋_GB2312" w:cs="仿宋_GB2312"/>
          <w:b w:val="0"/>
          <w:bCs w:val="0"/>
          <w:sz w:val="32"/>
          <w:szCs w:val="32"/>
        </w:rPr>
        <w:t>，比2021年收入预算20395719.79元，增加4884889.03元，增长</w:t>
      </w:r>
      <w:r>
        <w:rPr>
          <w:rFonts w:hint="eastAsia" w:ascii="仿宋_GB2312" w:hAnsi="仿宋_GB2312" w:eastAsia="仿宋_GB2312" w:cs="仿宋_GB2312"/>
          <w:b w:val="0"/>
          <w:bCs w:val="0"/>
          <w:sz w:val="32"/>
          <w:szCs w:val="32"/>
          <w:lang w:val="en-US" w:eastAsia="zh-CN"/>
        </w:rPr>
        <w:t>23.95</w:t>
      </w:r>
      <w:r>
        <w:rPr>
          <w:rFonts w:hint="eastAsia" w:ascii="仿宋_GB2312" w:hAnsi="仿宋_GB2312" w:eastAsia="仿宋_GB2312" w:cs="仿宋_GB2312"/>
          <w:b w:val="0"/>
          <w:bCs w:val="0"/>
          <w:sz w:val="32"/>
          <w:szCs w:val="32"/>
        </w:rPr>
        <w:t>%。预算增长的主要原因: A、西城区冬奥、冬残奥城市志愿者工作经费；B、庆祝中国共产主义青年团成立100周年暨青年跟党走奋进新征程展览；C、实有人员增加对应人员经费增长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D、</w:t>
      </w:r>
      <w:r>
        <w:rPr>
          <w:rFonts w:hint="eastAsia" w:ascii="仿宋_GB2312" w:hAnsi="仿宋_GB2312" w:eastAsia="仿宋_GB2312" w:cs="仿宋_GB2312"/>
          <w:b w:val="0"/>
          <w:bCs w:val="0"/>
          <w:sz w:val="32"/>
          <w:szCs w:val="32"/>
        </w:rPr>
        <w:t>按照工作实际需要增加了</w:t>
      </w:r>
      <w:r>
        <w:rPr>
          <w:rFonts w:hint="eastAsia" w:ascii="仿宋_GB2312" w:hAnsi="仿宋_GB2312" w:eastAsia="仿宋_GB2312" w:cs="仿宋_GB2312"/>
          <w:b w:val="0"/>
          <w:bCs w:val="0"/>
          <w:color w:val="auto"/>
          <w:sz w:val="32"/>
          <w:szCs w:val="32"/>
        </w:rPr>
        <w:t>少先队校外服务和实践活动工作经费等。</w:t>
      </w:r>
    </w:p>
    <w:p>
      <w:pPr>
        <w:keepNext w:val="0"/>
        <w:keepLines w:val="0"/>
        <w:pageBreakBefore w:val="0"/>
        <w:widowControl w:val="0"/>
        <w:kinsoku/>
        <w:wordWrap/>
        <w:overflowPunct/>
        <w:topLinePunct w:val="0"/>
        <w:bidi w:val="0"/>
        <w:snapToGrid/>
        <w:spacing w:line="560" w:lineRule="exact"/>
        <w:ind w:firstLine="555"/>
        <w:textAlignment w:val="auto"/>
        <w:rPr>
          <w:rFonts w:ascii="楷体" w:hAnsi="楷体" w:eastAsia="楷体" w:cs="仿宋_GB2312"/>
          <w:bCs/>
          <w:sz w:val="32"/>
          <w:szCs w:val="32"/>
        </w:rPr>
      </w:pPr>
      <w:r>
        <w:rPr>
          <w:rFonts w:hint="eastAsia" w:ascii="楷体" w:hAnsi="楷体" w:eastAsia="楷体" w:cs="仿宋_GB2312"/>
          <w:bCs/>
          <w:sz w:val="32"/>
          <w:szCs w:val="32"/>
        </w:rPr>
        <w:t>（二）支出预算说明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年支出预算25280608.82元,按用途划分: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rPr>
        <w:t>（1）2022年基本支出预算9585468.26元，占总支出的37.92%。其中公用支出582910.46元。2021年基本支出预算8599925.84元，占总支出的42.17%，其中公用支出680250.54元。2022年基本支出预算较2021年增长</w:t>
      </w:r>
      <w:r>
        <w:rPr>
          <w:rFonts w:hint="eastAsia" w:ascii="仿宋_GB2312" w:hAnsi="仿宋_GB2312" w:eastAsia="仿宋_GB2312" w:cs="仿宋_GB2312"/>
          <w:color w:val="auto"/>
          <w:sz w:val="32"/>
          <w:szCs w:val="32"/>
          <w:lang w:val="en-US" w:eastAsia="zh-CN"/>
        </w:rPr>
        <w:t>11.46</w:t>
      </w:r>
      <w:r>
        <w:rPr>
          <w:rFonts w:hint="eastAsia" w:ascii="仿宋_GB2312" w:hAnsi="仿宋_GB2312" w:eastAsia="仿宋_GB2312" w:cs="仿宋_GB2312"/>
          <w:color w:val="auto"/>
          <w:sz w:val="32"/>
          <w:szCs w:val="32"/>
        </w:rPr>
        <w:t>%，公用支出预算较2021年度减少</w:t>
      </w:r>
      <w:r>
        <w:rPr>
          <w:rFonts w:hint="eastAsia" w:ascii="仿宋_GB2312" w:hAnsi="仿宋_GB2312" w:eastAsia="仿宋_GB2312" w:cs="仿宋_GB2312"/>
          <w:color w:val="auto"/>
          <w:sz w:val="32"/>
          <w:szCs w:val="32"/>
          <w:lang w:val="en-US" w:eastAsia="zh-CN"/>
        </w:rPr>
        <w:t>14.31</w:t>
      </w:r>
      <w:r>
        <w:rPr>
          <w:rFonts w:hint="eastAsia" w:ascii="仿宋_GB2312" w:hAnsi="仿宋_GB2312" w:eastAsia="仿宋_GB2312" w:cs="仿宋_GB2312"/>
          <w:color w:val="auto"/>
          <w:sz w:val="32"/>
          <w:szCs w:val="32"/>
        </w:rPr>
        <w:t>%。</w:t>
      </w:r>
      <w:r>
        <w:rPr>
          <w:rFonts w:hint="eastAsia" w:ascii="仿宋_GB2312" w:eastAsia="仿宋_GB2312"/>
          <w:sz w:val="32"/>
          <w:szCs w:val="32"/>
          <w:highlight w:val="none"/>
          <w:lang w:val="en-US" w:eastAsia="zh-CN"/>
        </w:rPr>
        <w:t>主要原因</w:t>
      </w:r>
      <w:r>
        <w:rPr>
          <w:rFonts w:hint="eastAsia" w:ascii="仿宋_GB2312" w:eastAsia="仿宋_GB2312"/>
          <w:sz w:val="32"/>
          <w:szCs w:val="32"/>
          <w:lang w:eastAsia="zh-CN"/>
        </w:rPr>
        <w:t>为实有人员增加对应基本支出有所增长。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（2）2022年项目支出预算15695140.56元，占总支出的62.08%。2021年项目支出预算11795793.95元，占总支出的57.83%。2022年项目支出较2021年增加</w:t>
      </w:r>
      <w:r>
        <w:rPr>
          <w:rFonts w:hint="eastAsia" w:ascii="仿宋_GB2312" w:hAnsi="仿宋_GB2312" w:eastAsia="仿宋_GB2312" w:cs="仿宋_GB2312"/>
          <w:color w:val="auto"/>
          <w:sz w:val="32"/>
          <w:szCs w:val="32"/>
          <w:lang w:val="en-US" w:eastAsia="zh-CN"/>
        </w:rPr>
        <w:t>33.06</w:t>
      </w:r>
      <w:r>
        <w:rPr>
          <w:rFonts w:hint="eastAsia" w:ascii="仿宋_GB2312" w:hAnsi="仿宋_GB2312" w:eastAsia="仿宋_GB2312" w:cs="仿宋_GB2312"/>
          <w:color w:val="auto"/>
          <w:sz w:val="32"/>
          <w:szCs w:val="32"/>
        </w:rPr>
        <w:t>%，主要原因：A、西城区冬奥、冬残奥城市志愿者工作经费；B、庆祝中国共产主义青年团成立100周年暨青年跟党走奋进新征程展览；C、按照工作实际需要增加了少先队校外服务和实践活动工作经费。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三、主要支出情况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bookmarkStart w:id="0" w:name="_Toc25448"/>
      <w:bookmarkStart w:id="1" w:name="_Toc17531"/>
      <w:r>
        <w:rPr>
          <w:rFonts w:hint="eastAsia" w:ascii="仿宋_GB2312" w:hAnsi="仿宋_GB2312" w:eastAsia="仿宋_GB2312" w:cs="仿宋_GB2312"/>
          <w:sz w:val="32"/>
          <w:szCs w:val="32"/>
        </w:rPr>
        <w:t>（一）</w:t>
      </w:r>
      <w:bookmarkEnd w:id="0"/>
      <w:bookmarkEnd w:id="1"/>
      <w:r>
        <w:rPr>
          <w:rFonts w:hint="eastAsia" w:ascii="仿宋_GB2312" w:hAnsi="仿宋_GB2312" w:eastAsia="仿宋_GB2312" w:cs="仿宋_GB2312"/>
          <w:sz w:val="32"/>
          <w:szCs w:val="32"/>
        </w:rPr>
        <w:t>在职人员支出、公用支出</w:t>
      </w:r>
      <w:bookmarkStart w:id="2" w:name="_Toc7025"/>
      <w:bookmarkStart w:id="3" w:name="_Toc3237"/>
      <w:r>
        <w:rPr>
          <w:rFonts w:hint="eastAsia" w:ascii="仿宋_GB2312" w:hAnsi="仿宋_GB2312" w:eastAsia="仿宋_GB2312" w:cs="仿宋_GB2312"/>
          <w:sz w:val="32"/>
          <w:szCs w:val="32"/>
        </w:rPr>
        <w:t>和培训支出2022年安排6478790.47元。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（二）养老、医疗、住房公积金、离退休人员等支出2022年安排3106677.79元。</w:t>
      </w:r>
    </w:p>
    <w:bookmarkEnd w:id="2"/>
    <w:bookmarkEnd w:id="3"/>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支出主要包括：精准帮扶工作经费、志愿者工作经费、未成年人保护工作经费、预防青少年违法犯罪经费（阳光地带社区青年汇经费）、统战工作经费、北京市西城区青年联合会第三届委员会第一次全体会议工作经费、“聚力·金融街”党群服务中心工作经费、“聚力·金融街”党群服务中心信息化服务经费、青少年事务社工工资和管理经费、社区青年汇建设社会工作服务、“聚力”金融街党群服务中心社会工作服务费、社区青年汇建设工作经费、全团带队工作经费、五四青年节主题活动经费、团干部培训经费、团建创新工作经费、少先队辅导员培训经费、全团带队宣传工作经费和宣传工作经费、西城区冬奥、冬残奥城市志愿者工作经费、庆祝中国共产主义青年团成立100周年暨青年跟党走奋进新征程展览、少先队校外服务和实践活动工作经费共22项，2022年安排预算15695140.56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四、部门“三公”经费财政拨款预算说明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rPr>
        <w:t>（一）</w:t>
      </w:r>
      <w:r>
        <w:rPr>
          <w:rFonts w:ascii="楷体" w:hAnsi="楷体" w:eastAsia="楷体"/>
          <w:color w:val="000000"/>
          <w:sz w:val="32"/>
          <w:szCs w:val="32"/>
        </w:rPr>
        <w:t>“</w:t>
      </w:r>
      <w:r>
        <w:rPr>
          <w:rFonts w:hint="eastAsia" w:ascii="楷体" w:hAnsi="楷体" w:eastAsia="楷体"/>
          <w:color w:val="000000"/>
          <w:sz w:val="32"/>
          <w:szCs w:val="32"/>
        </w:rPr>
        <w:t>三公</w:t>
      </w:r>
      <w:r>
        <w:rPr>
          <w:rFonts w:ascii="楷体" w:hAnsi="楷体" w:eastAsia="楷体"/>
          <w:color w:val="000000"/>
          <w:sz w:val="32"/>
          <w:szCs w:val="32"/>
        </w:rPr>
        <w:t>”</w:t>
      </w:r>
      <w:r>
        <w:rPr>
          <w:rFonts w:hint="eastAsia" w:ascii="楷体" w:hAnsi="楷体" w:eastAsia="楷体"/>
          <w:color w:val="000000"/>
          <w:sz w:val="32"/>
          <w:szCs w:val="32"/>
        </w:rPr>
        <w:t>经费的</w:t>
      </w:r>
      <w:r>
        <w:rPr>
          <w:rFonts w:ascii="楷体" w:hAnsi="楷体" w:eastAsia="楷体"/>
          <w:color w:val="000000"/>
          <w:sz w:val="32"/>
          <w:szCs w:val="32"/>
        </w:rPr>
        <w:t>单位</w:t>
      </w:r>
      <w:r>
        <w:rPr>
          <w:rFonts w:hint="eastAsia" w:ascii="楷体" w:hAnsi="楷体" w:eastAsia="楷体"/>
          <w:color w:val="000000"/>
          <w:sz w:val="32"/>
          <w:szCs w:val="32"/>
        </w:rPr>
        <w:t>范围</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中国共产主义青年团北京市西城区委员会部门预算中因公出国（境）费、公务接待费、公务用车购置及运行维护费的支出单位包括中国共产主义青年团北京市西城区委员会及所属事业单位北京市</w:t>
      </w:r>
      <w:r>
        <w:rPr>
          <w:rFonts w:hint="eastAsia" w:ascii="仿宋_GB2312" w:hAnsi="仿宋_GB2312" w:eastAsia="仿宋_GB2312" w:cs="仿宋_GB2312"/>
          <w:kern w:val="0"/>
          <w:sz w:val="32"/>
          <w:szCs w:val="32"/>
        </w:rPr>
        <w:t>西城区志愿服务指导中心。</w:t>
      </w:r>
    </w:p>
    <w:p>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ascii="楷体" w:hAnsi="楷体" w:eastAsia="楷体"/>
          <w:color w:val="000000"/>
          <w:sz w:val="32"/>
          <w:szCs w:val="32"/>
        </w:rPr>
      </w:pPr>
      <w:r>
        <w:rPr>
          <w:rFonts w:ascii="楷体" w:hAnsi="楷体" w:eastAsia="楷体"/>
          <w:color w:val="000000"/>
          <w:sz w:val="32"/>
          <w:szCs w:val="32"/>
        </w:rPr>
        <w:t>“</w:t>
      </w:r>
      <w:r>
        <w:rPr>
          <w:rFonts w:hint="eastAsia" w:ascii="楷体" w:hAnsi="楷体" w:eastAsia="楷体"/>
          <w:color w:val="000000"/>
          <w:sz w:val="32"/>
          <w:szCs w:val="32"/>
        </w:rPr>
        <w:t>三公</w:t>
      </w:r>
      <w:r>
        <w:rPr>
          <w:rFonts w:ascii="楷体" w:hAnsi="楷体" w:eastAsia="楷体"/>
          <w:color w:val="000000"/>
          <w:sz w:val="32"/>
          <w:szCs w:val="32"/>
        </w:rPr>
        <w:t>”</w:t>
      </w:r>
      <w:r>
        <w:rPr>
          <w:rFonts w:hint="eastAsia" w:ascii="楷体" w:hAnsi="楷体" w:eastAsia="楷体"/>
          <w:color w:val="000000"/>
          <w:sz w:val="32"/>
          <w:szCs w:val="32"/>
        </w:rPr>
        <w:t>经费预算财政</w:t>
      </w:r>
      <w:r>
        <w:rPr>
          <w:rFonts w:ascii="楷体" w:hAnsi="楷体" w:eastAsia="楷体"/>
          <w:color w:val="000000"/>
          <w:sz w:val="32"/>
          <w:szCs w:val="32"/>
        </w:rPr>
        <w:t>拨款情况</w:t>
      </w:r>
      <w:r>
        <w:rPr>
          <w:rFonts w:hint="eastAsia" w:ascii="楷体" w:hAnsi="楷体" w:eastAsia="楷体"/>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2022年部门预算“三公”经费财政拨款预算安排0元，其中：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2022年财政拨款预算安排0万元。与2021年一致。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2022年财政拨款预算安排0元。与2021年财政拨款预算安排 4295.05元，下降100%，差异原因为三公经费的压减所致。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2022年公务用车数量为0辆，2021年财政拨款预算安排0元，其中公务用车购置费0万元，公务用车运行维护费0元。与2021年一致。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五、其他情况说明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（一）机构运行经费</w:t>
      </w:r>
      <w:r>
        <w:rPr>
          <w:rFonts w:ascii="楷体" w:hAnsi="楷体" w:eastAsia="楷体" w:cs="Times New Roman"/>
          <w:b w:val="0"/>
          <w:bCs/>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2022年本部门（含下属单位）履行一般行政事业管理职能、维持机关运行，用于一般公共预算安排的行政运行经费，合计582910.46元。2021年行政运行经费 680250.54元。2022年较2021年减少16.7%，主要原因：无接待费，日常会议费、培训费减少。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（二）政府采购预算说明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涉及政府采购项目6个，预算资金共计6045250元。其中：政府采购服务预算6045250元。主要为聚力金融街党建中心社会工作服务1800000元、“聚力·金融街”党群服务中心信息化服务经费200000元、社区青年汇建设社会工作服务2154000元、社区青年汇建设日常活动经费1391250元、少先队校外服务和实践活动工作经费500000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（三）政府购买服务预算说明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FF0000"/>
          <w:sz w:val="32"/>
          <w:szCs w:val="32"/>
        </w:rPr>
      </w:pPr>
      <w:r>
        <w:rPr>
          <w:rFonts w:hint="eastAsia" w:ascii="仿宋_GB2312" w:eastAsia="仿宋_GB2312" w:cs="Times New Roman"/>
          <w:sz w:val="32"/>
          <w:szCs w:val="32"/>
          <w:lang w:val="en-US" w:eastAsia="zh-CN"/>
        </w:rPr>
        <w:t>2022年涉及政府购买服务项目6个，预算资金6045250元。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（四）绩效目标情况及绩效评价结果说明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2022年，填报绩效目标的预算项目22个，占全部预算项目22个的100%。填报绩效目标的项目支出预算1,5695140.56元，占全部项目支出预算的100％。</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单位对部门整体进行绩效自评。经专家评议，中国共产主义青年团北京市西城区委员会2020年财政支出整体绩效评价结果得分为85.28分。其中，部门决策12.40分；部门管理35.06分；部门绩效37.82分，绩效评定等级为“良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（五）国有</w:t>
      </w:r>
      <w:r>
        <w:rPr>
          <w:rFonts w:ascii="楷体" w:hAnsi="楷体" w:eastAsia="楷体" w:cs="Times New Roman"/>
          <w:b w:val="0"/>
          <w:bCs/>
          <w:color w:val="000000"/>
          <w:sz w:val="32"/>
          <w:szCs w:val="32"/>
        </w:rPr>
        <w:t>资本经营预算财政拨款</w:t>
      </w:r>
      <w:r>
        <w:rPr>
          <w:rFonts w:hint="eastAsia" w:ascii="楷体" w:hAnsi="楷体" w:eastAsia="楷体" w:cs="Times New Roman"/>
          <w:b w:val="0"/>
          <w:bCs/>
          <w:color w:val="000000"/>
          <w:sz w:val="32"/>
          <w:szCs w:val="32"/>
        </w:rPr>
        <w:t>情况</w:t>
      </w:r>
      <w:r>
        <w:rPr>
          <w:rFonts w:ascii="楷体" w:hAnsi="楷体" w:eastAsia="楷体" w:cs="Times New Roman"/>
          <w:b w:val="0"/>
          <w:bCs/>
          <w:color w:val="000000"/>
          <w:sz w:val="32"/>
          <w:szCs w:val="32"/>
        </w:rPr>
        <w:t>说明</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本单位无国有资本经营预算财政拨款。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（六）国有资产</w:t>
      </w:r>
      <w:r>
        <w:rPr>
          <w:rFonts w:ascii="楷体" w:hAnsi="楷体" w:eastAsia="楷体" w:cs="Times New Roman"/>
          <w:b w:val="0"/>
          <w:bCs/>
          <w:color w:val="000000"/>
          <w:sz w:val="32"/>
          <w:szCs w:val="32"/>
        </w:rPr>
        <w:t>占用情况说明</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截止2021年底，我单位固定资产136.66 万元，</w:t>
      </w:r>
      <w:r>
        <w:rPr>
          <w:rFonts w:hint="eastAsia" w:ascii="仿宋_GB2312" w:hAnsi="仿宋_GB2312" w:eastAsia="仿宋_GB2312" w:cs="仿宋_GB2312"/>
          <w:sz w:val="32"/>
          <w:szCs w:val="32"/>
          <w:lang w:val="en-US" w:eastAsia="zh-CN"/>
        </w:rPr>
        <w:t>其中：车辆0台，0万元；单位价值50万元以上的通用设备0台（套）、0万元，单位价值100万元以上的专用设备0台（套）、0万元。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2022部门预算：安排购置车辆0台，0万元；安排购置单位价值50万元以上的通用设备0台（套）、0万元，安排购置单位价值100万元以上的专用设备0台（套）、0万元。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（七）重点行政事业性收费情况说明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本单位无行政事业性收费。</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（八）</w:t>
      </w:r>
      <w:r>
        <w:rPr>
          <w:rFonts w:hint="eastAsia" w:ascii="仿宋" w:hAnsi="仿宋" w:eastAsia="仿宋"/>
          <w:sz w:val="32"/>
          <w:szCs w:val="32"/>
        </w:rPr>
        <w:t>政府性基金预算财政拨款</w:t>
      </w:r>
      <w:r>
        <w:rPr>
          <w:rFonts w:hint="eastAsia" w:ascii="仿宋" w:hAnsi="仿宋" w:eastAsia="仿宋"/>
          <w:sz w:val="32"/>
          <w:szCs w:val="32"/>
          <w:lang w:eastAsia="zh-CN"/>
        </w:rPr>
        <w:t>情况</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本单位无</w:t>
      </w:r>
      <w:r>
        <w:rPr>
          <w:rFonts w:hint="eastAsia" w:ascii="仿宋" w:hAnsi="仿宋" w:eastAsia="仿宋"/>
          <w:sz w:val="32"/>
          <w:szCs w:val="32"/>
        </w:rPr>
        <w:t>政府性基金预算财政拨款</w:t>
      </w:r>
      <w:r>
        <w:rPr>
          <w:rFonts w:hint="eastAsia" w:ascii="仿宋" w:hAnsi="仿宋" w:eastAsia="仿宋"/>
          <w:sz w:val="32"/>
          <w:szCs w:val="32"/>
          <w:lang w:eastAsia="zh-CN"/>
        </w:rPr>
        <w:t>情况</w:t>
      </w:r>
      <w:r>
        <w:rPr>
          <w:rFonts w:hint="eastAsia" w:ascii="仿宋" w:hAnsi="仿宋" w:eastAsia="仿宋"/>
          <w:sz w:val="32"/>
          <w:szCs w:val="32"/>
        </w:rPr>
        <w:t>收入</w:t>
      </w:r>
      <w:r>
        <w:rPr>
          <w:rFonts w:hint="eastAsia" w:ascii="仿宋" w:hAnsi="仿宋" w:eastAsia="仿宋"/>
          <w:sz w:val="32"/>
          <w:szCs w:val="32"/>
          <w:lang w:eastAsia="zh-CN"/>
        </w:rPr>
        <w:t>和</w:t>
      </w:r>
      <w:r>
        <w:rPr>
          <w:rFonts w:hint="eastAsia" w:ascii="仿宋" w:hAnsi="仿宋" w:eastAsia="仿宋"/>
          <w:sz w:val="32"/>
          <w:szCs w:val="32"/>
        </w:rPr>
        <w:t>支出。</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（九）</w:t>
      </w:r>
      <w:r>
        <w:rPr>
          <w:rFonts w:hint="eastAsia" w:ascii="仿宋" w:hAnsi="仿宋" w:eastAsia="仿宋"/>
          <w:sz w:val="32"/>
          <w:szCs w:val="32"/>
        </w:rPr>
        <w:t>转移支付项目</w:t>
      </w:r>
      <w:r>
        <w:rPr>
          <w:rFonts w:hint="eastAsia" w:ascii="仿宋" w:hAnsi="仿宋" w:eastAsia="仿宋"/>
          <w:sz w:val="32"/>
          <w:szCs w:val="32"/>
          <w:lang w:eastAsia="zh-CN"/>
        </w:rPr>
        <w:t>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lang w:eastAsia="zh-CN"/>
        </w:rPr>
        <w:t>本单位无</w:t>
      </w:r>
      <w:r>
        <w:rPr>
          <w:rFonts w:hint="eastAsia" w:ascii="仿宋" w:hAnsi="仿宋" w:eastAsia="仿宋"/>
          <w:sz w:val="32"/>
          <w:szCs w:val="32"/>
        </w:rPr>
        <w:t>转移支付项目</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六、名称解释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行经费。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区青年汇。社区青年汇是共青团在基层的一个组织阵地、一个工作抓手，一个服务窗口，依托公共空间，与党群服务中心、乡镇（街道）、社区活动中心、新时代文明实践站融合发展。全团都在依托社区青年汇阵地开展工作，直接联系、服务、引领青少年，围绕共青团主责主业，不断提升组织力、引领力、服务力和在首都治理中的贡献度。</w:t>
      </w:r>
    </w:p>
    <w:p>
      <w:pPr>
        <w:autoSpaceDE w:val="0"/>
        <w:autoSpaceDN w:val="0"/>
        <w:adjustRightInd w:val="0"/>
        <w:spacing w:line="560" w:lineRule="exact"/>
        <w:jc w:val="left"/>
        <w:rPr>
          <w:rFonts w:ascii="仿宋_GB2312" w:hAnsi="Calibri" w:eastAsia="仿宋_GB2312" w:cs="Times New Roman"/>
          <w:sz w:val="32"/>
          <w:szCs w:val="32"/>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center"/>
        <w:rPr>
          <w:rFonts w:ascii="仿宋_GB2312" w:hAnsi="Calibri" w:eastAsia="仿宋_GB2312" w:cs="Times New Roman"/>
          <w:color w:val="000000"/>
          <w:sz w:val="32"/>
          <w:szCs w:val="32"/>
        </w:rPr>
      </w:pPr>
      <w:r>
        <w:rPr>
          <w:rFonts w:hint="eastAsia" w:ascii="楷体_GB2312" w:hAnsi="楷体_GB2312" w:eastAsia="楷体_GB2312" w:cs="楷体_GB2312"/>
          <w:color w:val="000000"/>
          <w:sz w:val="44"/>
          <w:szCs w:val="44"/>
        </w:rPr>
        <w:t>第二部分</w:t>
      </w:r>
      <w:r>
        <w:rPr>
          <w:rFonts w:hint="eastAsia" w:ascii="楷体_GB2312" w:hAnsi="楷体_GB2312" w:eastAsia="楷体_GB2312" w:cs="楷体_GB2312"/>
          <w:color w:val="000000"/>
          <w:sz w:val="44"/>
          <w:szCs w:val="44"/>
          <w:lang w:val="en-US" w:eastAsia="zh-CN"/>
        </w:rPr>
        <w:t xml:space="preserve">   </w:t>
      </w:r>
      <w:r>
        <w:rPr>
          <w:rFonts w:hint="eastAsia" w:ascii="楷体_GB2312" w:hAnsi="楷体_GB2312" w:eastAsia="楷体_GB2312" w:cs="楷体_GB2312"/>
          <w:color w:val="000000"/>
          <w:sz w:val="44"/>
          <w:szCs w:val="44"/>
        </w:rPr>
        <w:t>2022年部门预算表</w:t>
      </w:r>
    </w:p>
    <w:p>
      <w:pPr>
        <w:autoSpaceDE w:val="0"/>
        <w:autoSpaceDN w:val="0"/>
        <w:adjustRightInd w:val="0"/>
        <w:spacing w:line="560" w:lineRule="exact"/>
        <w:jc w:val="left"/>
        <w:rPr>
          <w:rFonts w:hint="eastAsia" w:ascii="仿宋_GB2312" w:eastAsia="仿宋_GB2312"/>
          <w:sz w:val="32"/>
          <w:szCs w:val="32"/>
          <w:lang w:val="zh-CN"/>
        </w:rPr>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lang w:val="zh-CN"/>
        </w:rPr>
        <w:t>表一</w:t>
      </w:r>
    </w:p>
    <w:p>
      <w:pPr>
        <w:autoSpaceDE w:val="0"/>
        <w:autoSpaceDN w:val="0"/>
        <w:adjustRightInd w:val="0"/>
        <w:spacing w:line="560" w:lineRule="exact"/>
        <w:jc w:val="center"/>
        <w:rPr>
          <w:rFonts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部门收支总体情况表</w:t>
      </w:r>
    </w:p>
    <w:tbl>
      <w:tblPr>
        <w:tblStyle w:val="5"/>
        <w:tblW w:w="8720" w:type="dxa"/>
        <w:tblInd w:w="93" w:type="dxa"/>
        <w:tblLayout w:type="autofit"/>
        <w:tblCellMar>
          <w:top w:w="0" w:type="dxa"/>
          <w:left w:w="108" w:type="dxa"/>
          <w:bottom w:w="0" w:type="dxa"/>
          <w:right w:w="108" w:type="dxa"/>
        </w:tblCellMar>
      </w:tblPr>
      <w:tblGrid>
        <w:gridCol w:w="2840"/>
        <w:gridCol w:w="1780"/>
        <w:gridCol w:w="2320"/>
        <w:gridCol w:w="1780"/>
      </w:tblGrid>
      <w:tr>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中国共产主义青年团北京市西城区委员会</w:t>
            </w:r>
          </w:p>
        </w:tc>
        <w:tc>
          <w:tcPr>
            <w:tcW w:w="1780" w:type="dxa"/>
            <w:tcBorders>
              <w:top w:val="nil"/>
              <w:left w:val="nil"/>
              <w:bottom w:val="nil"/>
              <w:right w:val="nil"/>
            </w:tcBorders>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单位：元</w:t>
            </w:r>
          </w:p>
        </w:tc>
      </w:tr>
      <w:tr>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支出预算金额</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一、一般公共服务支出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21984385.29</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二、教育支出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189545.74</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财政专户资金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三、社会保障和就业支出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1172215.04</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教育收费收入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四、卫生健康支出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630600.23</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其他财政专户收入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五、住房保障支出</w:t>
            </w:r>
          </w:p>
        </w:tc>
        <w:tc>
          <w:tcPr>
            <w:tcW w:w="1780" w:type="dxa"/>
            <w:tcBorders>
              <w:top w:val="nil"/>
              <w:left w:val="nil"/>
              <w:bottom w:val="single" w:color="auto" w:sz="4" w:space="0"/>
              <w:right w:val="single" w:color="auto" w:sz="4" w:space="0"/>
            </w:tcBorders>
            <w:vAlign w:val="center"/>
          </w:tcPr>
          <w:p>
            <w:pPr>
              <w:widowControl/>
              <w:wordWrap w:val="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1303862.52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批准留用</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本年收入合计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本年支出合计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结转下年</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r>
    </w:tbl>
    <w:p>
      <w:pPr>
        <w:autoSpaceDE w:val="0"/>
        <w:autoSpaceDN w:val="0"/>
        <w:adjustRightInd w:val="0"/>
        <w:spacing w:line="560" w:lineRule="exact"/>
        <w:jc w:val="left"/>
        <w:rPr>
          <w:rFonts w:ascii="仿宋_GB2312" w:eastAsia="仿宋_GB2312" w:cs="宋体"/>
          <w:color w:val="000000"/>
          <w:kern w:val="0"/>
          <w:sz w:val="32"/>
          <w:szCs w:val="32"/>
          <w:lang w:val="zh-CN"/>
        </w:rPr>
        <w:sectPr>
          <w:footerReference r:id="rId3"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表二</w:t>
      </w:r>
    </w:p>
    <w:tbl>
      <w:tblPr>
        <w:tblStyle w:val="5"/>
        <w:tblW w:w="0" w:type="auto"/>
        <w:tblInd w:w="93" w:type="dxa"/>
        <w:tblLayout w:type="fixed"/>
        <w:tblCellMar>
          <w:top w:w="0" w:type="dxa"/>
          <w:left w:w="108" w:type="dxa"/>
          <w:bottom w:w="0" w:type="dxa"/>
          <w:right w:w="108" w:type="dxa"/>
        </w:tblCellMar>
      </w:tblPr>
      <w:tblGrid>
        <w:gridCol w:w="983"/>
        <w:gridCol w:w="308"/>
        <w:gridCol w:w="2126"/>
        <w:gridCol w:w="1467"/>
        <w:gridCol w:w="708"/>
        <w:gridCol w:w="2220"/>
        <w:gridCol w:w="1134"/>
        <w:gridCol w:w="708"/>
        <w:gridCol w:w="709"/>
        <w:gridCol w:w="709"/>
        <w:gridCol w:w="850"/>
        <w:gridCol w:w="743"/>
        <w:gridCol w:w="1274"/>
        <w:gridCol w:w="142"/>
      </w:tblGrid>
      <w:tr>
        <w:tblPrEx>
          <w:tblCellMar>
            <w:top w:w="0" w:type="dxa"/>
            <w:left w:w="108" w:type="dxa"/>
            <w:bottom w:w="0" w:type="dxa"/>
            <w:right w:w="108" w:type="dxa"/>
          </w:tblCellMar>
        </w:tblPrEx>
        <w:trPr>
          <w:gridAfter w:val="1"/>
          <w:wAfter w:w="142" w:type="dxa"/>
          <w:trHeight w:val="375" w:hRule="atLeast"/>
        </w:trPr>
        <w:tc>
          <w:tcPr>
            <w:tcW w:w="13939" w:type="dxa"/>
            <w:gridSpan w:val="13"/>
            <w:tcBorders>
              <w:top w:val="nil"/>
              <w:left w:val="nil"/>
              <w:bottom w:val="nil"/>
              <w:right w:val="nil"/>
            </w:tcBorders>
            <w:vAlign w:val="center"/>
          </w:tcPr>
          <w:p>
            <w:pPr>
              <w:widowControl/>
              <w:jc w:val="center"/>
              <w:rPr>
                <w:rFonts w:ascii="宋体" w:hAnsi="宋体" w:cs="宋体"/>
                <w:b/>
                <w:color w:val="000000"/>
                <w:kern w:val="0"/>
                <w:sz w:val="20"/>
                <w:szCs w:val="20"/>
              </w:rPr>
            </w:pPr>
            <w:r>
              <w:rPr>
                <w:rFonts w:hint="eastAsia" w:ascii="仿宋_GB2312" w:eastAsia="仿宋_GB2312"/>
                <w:sz w:val="32"/>
                <w:szCs w:val="32"/>
              </w:rPr>
              <w:t>部门收入总体情况表</w:t>
            </w:r>
          </w:p>
        </w:tc>
      </w:tr>
      <w:tr>
        <w:tblPrEx>
          <w:tblCellMar>
            <w:top w:w="0" w:type="dxa"/>
            <w:left w:w="108" w:type="dxa"/>
            <w:bottom w:w="0" w:type="dxa"/>
            <w:right w:w="108" w:type="dxa"/>
          </w:tblCellMar>
        </w:tblPrEx>
        <w:trPr>
          <w:trHeight w:val="288" w:hRule="atLeast"/>
        </w:trPr>
        <w:tc>
          <w:tcPr>
            <w:tcW w:w="983"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434" w:type="dxa"/>
            <w:gridSpan w:val="2"/>
            <w:tcBorders>
              <w:top w:val="nil"/>
              <w:left w:val="nil"/>
              <w:bottom w:val="nil"/>
              <w:right w:val="nil"/>
            </w:tcBorders>
            <w:vAlign w:val="center"/>
          </w:tcPr>
          <w:p>
            <w:pPr>
              <w:widowControl/>
              <w:jc w:val="left"/>
              <w:rPr>
                <w:rFonts w:ascii="宋体" w:hAnsi="宋体" w:cs="宋体"/>
                <w:color w:val="000000"/>
                <w:kern w:val="0"/>
                <w:sz w:val="20"/>
                <w:szCs w:val="20"/>
              </w:rPr>
            </w:pPr>
          </w:p>
        </w:tc>
        <w:tc>
          <w:tcPr>
            <w:tcW w:w="1467"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708"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22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1134"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708"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709"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709"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85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159" w:type="dxa"/>
            <w:gridSpan w:val="3"/>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288" w:hRule="atLeast"/>
        </w:trPr>
        <w:tc>
          <w:tcPr>
            <w:tcW w:w="341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一般公共预算拨款收入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政府性基金预算拨款收入</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4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r>
      <w:tr>
        <w:tblPrEx>
          <w:tblCellMar>
            <w:top w:w="0" w:type="dxa"/>
            <w:left w:w="108" w:type="dxa"/>
            <w:bottom w:w="0" w:type="dxa"/>
            <w:right w:w="108" w:type="dxa"/>
          </w:tblCellMar>
        </w:tblPrEx>
        <w:trPr>
          <w:trHeight w:val="405"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科目编号</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27"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1984385.29</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21984385.29</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7"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群众团体事务</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1984385.29</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1984385.29</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0"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cs="宋体"/>
                <w:color w:val="000000"/>
                <w:kern w:val="0"/>
                <w:sz w:val="18"/>
                <w:szCs w:val="18"/>
              </w:rPr>
              <w:t>154124.41</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cs="宋体"/>
                <w:color w:val="000000"/>
                <w:kern w:val="0"/>
                <w:sz w:val="18"/>
                <w:szCs w:val="18"/>
              </w:rPr>
              <w:t>154124.41</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7"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2012902</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一般行政管理事务</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eastAsia="宋体" w:cs="宋体"/>
                <w:color w:val="000000"/>
                <w:kern w:val="0"/>
                <w:sz w:val="18"/>
                <w:szCs w:val="18"/>
              </w:rPr>
              <w:t>2012950</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事业运行</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2,240,770.40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1229191.72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2012999</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其他群众团体事务支出</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11,441,127.15</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5601069.16</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205</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教育支出</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20508</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进修及培训</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2050803</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培训支出</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70"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172215.04</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1172215.04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行政事业单位离退休</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172215.04</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172215.04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归口管理的行政单位离退休</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8</w:t>
            </w:r>
            <w:r>
              <w:rPr>
                <w:rFonts w:hint="eastAsia" w:ascii="宋体" w:hAnsi="宋体"/>
                <w:color w:val="000000"/>
                <w:sz w:val="18"/>
                <w:szCs w:val="18"/>
              </w:rPr>
              <w:t>030.00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s="宋体"/>
                <w:color w:val="000000"/>
                <w:kern w:val="0"/>
                <w:sz w:val="18"/>
                <w:szCs w:val="18"/>
              </w:rPr>
              <w:t>8</w:t>
            </w:r>
            <w:r>
              <w:rPr>
                <w:rFonts w:hint="eastAsia" w:ascii="宋体" w:hAnsi="宋体" w:eastAsia="宋体"/>
                <w:color w:val="000000"/>
                <w:sz w:val="18"/>
                <w:szCs w:val="18"/>
              </w:rPr>
              <w:t>030.00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机关事业单位基本养老保险缴费支出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7</w:t>
            </w:r>
            <w:r>
              <w:rPr>
                <w:rFonts w:hint="eastAsia" w:ascii="宋体" w:hAnsi="宋体"/>
                <w:color w:val="000000"/>
                <w:sz w:val="18"/>
                <w:szCs w:val="18"/>
              </w:rPr>
              <w:t>76123.36</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s="宋体"/>
                <w:color w:val="000000"/>
                <w:kern w:val="0"/>
                <w:sz w:val="18"/>
                <w:szCs w:val="18"/>
              </w:rPr>
              <w:t>7</w:t>
            </w:r>
            <w:r>
              <w:rPr>
                <w:rFonts w:hint="eastAsia" w:ascii="宋体" w:hAnsi="宋体" w:eastAsia="宋体"/>
                <w:color w:val="000000"/>
                <w:sz w:val="18"/>
                <w:szCs w:val="18"/>
              </w:rPr>
              <w:t>76123.36</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机关事业单位职业年金缴费支出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3</w:t>
            </w:r>
            <w:r>
              <w:rPr>
                <w:rFonts w:hint="eastAsia" w:ascii="宋体" w:hAnsi="宋体"/>
                <w:color w:val="000000"/>
                <w:sz w:val="18"/>
                <w:szCs w:val="18"/>
              </w:rPr>
              <w:t>88061.68</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s="宋体"/>
                <w:color w:val="000000"/>
                <w:kern w:val="0"/>
                <w:sz w:val="18"/>
                <w:szCs w:val="18"/>
              </w:rPr>
              <w:t>3</w:t>
            </w:r>
            <w:r>
              <w:rPr>
                <w:rFonts w:hint="eastAsia" w:ascii="宋体" w:hAnsi="宋体" w:eastAsia="宋体"/>
                <w:color w:val="000000"/>
                <w:sz w:val="18"/>
                <w:szCs w:val="18"/>
              </w:rPr>
              <w:t>88061.68</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5"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行政事业单位医疗</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88"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行政单位医疗</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rPr>
              <w:t>98273.33</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rPr>
              <w:t>98273.33</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8"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2101102</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事业单位医疗</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232,326.90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32326.90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4"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住房改革支出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2210201</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58442.52</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58442.52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8"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2210202</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提租补贴</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11,520.00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11,520.00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19"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2210203</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住房补贴</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33900.00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33900.00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11"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5280608.82</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5280608.82</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center"/>
        <w:rPr>
          <w:rFonts w:ascii="仿宋_GB2312" w:eastAsia="仿宋_GB2312"/>
          <w:sz w:val="32"/>
          <w:szCs w:val="32"/>
        </w:rPr>
        <w:sectPr>
          <w:pgSz w:w="16838" w:h="11906" w:orient="landscape"/>
          <w:pgMar w:top="1134" w:right="1440" w:bottom="567" w:left="1440" w:header="851" w:footer="992" w:gutter="0"/>
          <w:cols w:space="720" w:num="1"/>
          <w:docGrid w:type="lines" w:linePitch="319"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表三</w:t>
      </w:r>
    </w:p>
    <w:tbl>
      <w:tblPr>
        <w:tblStyle w:val="5"/>
        <w:tblW w:w="0" w:type="auto"/>
        <w:tblInd w:w="0" w:type="dxa"/>
        <w:tblLayout w:type="fixed"/>
        <w:tblCellMar>
          <w:top w:w="15" w:type="dxa"/>
          <w:left w:w="15" w:type="dxa"/>
          <w:bottom w:w="15" w:type="dxa"/>
          <w:right w:w="15" w:type="dxa"/>
        </w:tblCellMar>
      </w:tblPr>
      <w:tblGrid>
        <w:gridCol w:w="1667"/>
        <w:gridCol w:w="2958"/>
        <w:gridCol w:w="1702"/>
        <w:gridCol w:w="1410"/>
        <w:gridCol w:w="1445"/>
        <w:gridCol w:w="1637"/>
        <w:gridCol w:w="1519"/>
        <w:gridCol w:w="1650"/>
      </w:tblGrid>
      <w:tr>
        <w:tblPrEx>
          <w:tblCellMar>
            <w:top w:w="15" w:type="dxa"/>
            <w:left w:w="15" w:type="dxa"/>
            <w:bottom w:w="15" w:type="dxa"/>
            <w:right w:w="15" w:type="dxa"/>
          </w:tblCellMar>
        </w:tblPrEx>
        <w:trPr>
          <w:trHeight w:val="630" w:hRule="atLeast"/>
        </w:trPr>
        <w:tc>
          <w:tcPr>
            <w:tcW w:w="13988" w:type="dxa"/>
            <w:gridSpan w:val="8"/>
            <w:vAlign w:val="center"/>
          </w:tcPr>
          <w:p>
            <w:pPr>
              <w:widowControl/>
              <w:jc w:val="center"/>
              <w:textAlignment w:val="center"/>
              <w:rPr>
                <w:rFonts w:ascii="宋体" w:hAnsi="宋体" w:cs="宋体"/>
                <w:b/>
                <w:color w:val="000000"/>
                <w:kern w:val="0"/>
                <w:sz w:val="24"/>
              </w:rPr>
            </w:pPr>
            <w:r>
              <w:rPr>
                <w:rFonts w:hint="eastAsia" w:ascii="宋体" w:hAnsi="宋体" w:cs="宋体"/>
                <w:b/>
                <w:bCs/>
                <w:color w:val="000000"/>
                <w:kern w:val="0"/>
                <w:sz w:val="32"/>
                <w:szCs w:val="32"/>
              </w:rPr>
              <w:t>部门支出总体情况表</w:t>
            </w:r>
          </w:p>
        </w:tc>
      </w:tr>
      <w:tr>
        <w:tblPrEx>
          <w:tblCellMar>
            <w:top w:w="15" w:type="dxa"/>
            <w:left w:w="15" w:type="dxa"/>
            <w:bottom w:w="15" w:type="dxa"/>
            <w:right w:w="15" w:type="dxa"/>
          </w:tblCellMar>
        </w:tblPrEx>
        <w:trPr>
          <w:trHeight w:val="286" w:hRule="atLeast"/>
        </w:trPr>
        <w:tc>
          <w:tcPr>
            <w:tcW w:w="13988" w:type="dxa"/>
            <w:gridSpan w:val="8"/>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15" w:type="dxa"/>
            <w:left w:w="15" w:type="dxa"/>
            <w:bottom w:w="15" w:type="dxa"/>
            <w:right w:w="15" w:type="dxa"/>
          </w:tblCellMar>
        </w:tblPrEx>
        <w:trPr>
          <w:trHeight w:val="600" w:hRule="atLeast"/>
        </w:trPr>
        <w:tc>
          <w:tcPr>
            <w:tcW w:w="1667"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科目编码</w:t>
            </w:r>
          </w:p>
        </w:tc>
        <w:tc>
          <w:tcPr>
            <w:tcW w:w="2958"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科目名称</w:t>
            </w:r>
          </w:p>
        </w:tc>
        <w:tc>
          <w:tcPr>
            <w:tcW w:w="1702"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1410"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基本支出</w:t>
            </w:r>
          </w:p>
        </w:tc>
        <w:tc>
          <w:tcPr>
            <w:tcW w:w="1445"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项目支出</w:t>
            </w:r>
          </w:p>
        </w:tc>
        <w:tc>
          <w:tcPr>
            <w:tcW w:w="1637"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上缴上级支出</w:t>
            </w:r>
          </w:p>
        </w:tc>
        <w:tc>
          <w:tcPr>
            <w:tcW w:w="1519"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left"/>
              <w:rPr>
                <w:rFonts w:ascii="宋体" w:hAnsi="宋体" w:cs="宋体"/>
                <w:b/>
                <w:color w:val="000000"/>
                <w:kern w:val="0"/>
                <w:sz w:val="20"/>
                <w:szCs w:val="20"/>
              </w:rPr>
            </w:pPr>
            <w:r>
              <w:rPr>
                <w:rFonts w:hint="eastAsia" w:ascii="宋体" w:hAnsi="宋体" w:cs="Arial"/>
                <w:b/>
                <w:bCs/>
                <w:color w:val="000000"/>
                <w:kern w:val="0"/>
                <w:sz w:val="18"/>
                <w:szCs w:val="18"/>
              </w:rPr>
              <w:t>事业单位经营支出</w:t>
            </w:r>
          </w:p>
        </w:tc>
        <w:tc>
          <w:tcPr>
            <w:tcW w:w="1650"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left"/>
              <w:rPr>
                <w:rFonts w:ascii="宋体" w:hAnsi="宋体" w:cs="宋体"/>
                <w:b/>
                <w:color w:val="000000"/>
                <w:kern w:val="0"/>
                <w:sz w:val="20"/>
                <w:szCs w:val="20"/>
              </w:rPr>
            </w:pPr>
            <w:r>
              <w:rPr>
                <w:rFonts w:hint="eastAsia" w:ascii="宋体" w:hAnsi="宋体" w:cs="Arial"/>
                <w:b/>
                <w:bCs/>
                <w:kern w:val="0"/>
                <w:sz w:val="18"/>
                <w:szCs w:val="18"/>
              </w:rPr>
              <w:t>对下级单位补助支出</w:t>
            </w:r>
          </w:p>
        </w:tc>
      </w:tr>
      <w:tr>
        <w:tblPrEx>
          <w:tblCellMar>
            <w:top w:w="15" w:type="dxa"/>
            <w:left w:w="15" w:type="dxa"/>
            <w:bottom w:w="15" w:type="dxa"/>
            <w:right w:w="15" w:type="dxa"/>
          </w:tblCellMar>
        </w:tblPrEx>
        <w:trPr>
          <w:trHeight w:val="586"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 xml:space="preserve">25280608.82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 xml:space="preserve">9585468.26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 xml:space="preserve">15695140.56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群众团体事务</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一般行政管理事务</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2012950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事业运行</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2012999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其他群众团体事务支出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15601069.06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进修及培训</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418"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2050803</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行政事业单位医疗</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2210203</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bl>
    <w:p/>
    <w:p/>
    <w:p/>
    <w:p/>
    <w:p/>
    <w:p/>
    <w:p/>
    <w:p/>
    <w:p/>
    <w:p/>
    <w:p/>
    <w:p/>
    <w:p/>
    <w:p/>
    <w:p/>
    <w:p/>
    <w:p/>
    <w:p/>
    <w:p/>
    <w:p/>
    <w:p/>
    <w:p/>
    <w:p>
      <w:pPr>
        <w:sectPr>
          <w:pgSz w:w="16838" w:h="11906" w:orient="landscape"/>
          <w:pgMar w:top="1134" w:right="1440" w:bottom="567" w:left="1440" w:header="851" w:footer="992" w:gutter="0"/>
          <w:cols w:space="425" w:num="1"/>
          <w:docGrid w:type="lines" w:linePitch="312" w:charSpace="0"/>
        </w:sectPr>
      </w:pPr>
    </w:p>
    <w:p>
      <w:pPr>
        <w:autoSpaceDE w:val="0"/>
        <w:autoSpaceDN w:val="0"/>
        <w:adjustRightInd w:val="0"/>
        <w:spacing w:line="560" w:lineRule="exact"/>
        <w:jc w:val="left"/>
        <w:rPr>
          <w:rFonts w:ascii="仿宋_GB2312" w:hAnsi="Calibri" w:eastAsia="仿宋_GB2312" w:cs="Times New Roman"/>
          <w:sz w:val="18"/>
          <w:szCs w:val="18"/>
        </w:rPr>
      </w:pPr>
      <w:r>
        <w:rPr>
          <w:rFonts w:hint="eastAsia" w:ascii="仿宋_GB2312" w:hAnsi="Calibri" w:eastAsia="仿宋_GB2312" w:cs="Times New Roman"/>
          <w:sz w:val="32"/>
          <w:szCs w:val="32"/>
        </w:rPr>
        <w:t xml:space="preserve">表四                                           项目支出表                                   </w:t>
      </w:r>
      <w:r>
        <w:rPr>
          <w:rFonts w:hint="eastAsia" w:ascii="仿宋_GB2312" w:hAnsi="Calibri" w:eastAsia="仿宋_GB2312" w:cs="Times New Roman"/>
          <w:sz w:val="18"/>
          <w:szCs w:val="18"/>
        </w:rPr>
        <w:t>单位：元</w:t>
      </w:r>
    </w:p>
    <w:tbl>
      <w:tblPr>
        <w:tblStyle w:val="5"/>
        <w:tblW w:w="16018" w:type="dxa"/>
        <w:tblInd w:w="250" w:type="dxa"/>
        <w:tblLayout w:type="autofit"/>
        <w:tblCellMar>
          <w:top w:w="0" w:type="dxa"/>
          <w:left w:w="108" w:type="dxa"/>
          <w:bottom w:w="0" w:type="dxa"/>
          <w:right w:w="108" w:type="dxa"/>
        </w:tblCellMar>
      </w:tblPr>
      <w:tblGrid>
        <w:gridCol w:w="2977"/>
        <w:gridCol w:w="2693"/>
        <w:gridCol w:w="2388"/>
        <w:gridCol w:w="2544"/>
        <w:gridCol w:w="1305"/>
        <w:gridCol w:w="1701"/>
        <w:gridCol w:w="1134"/>
        <w:gridCol w:w="1276"/>
      </w:tblGrid>
      <w:tr>
        <w:tblPrEx>
          <w:tblCellMar>
            <w:top w:w="0" w:type="dxa"/>
            <w:left w:w="108" w:type="dxa"/>
            <w:bottom w:w="0" w:type="dxa"/>
            <w:right w:w="108" w:type="dxa"/>
          </w:tblCellMar>
        </w:tblPrEx>
        <w:trPr>
          <w:trHeight w:val="462" w:hRule="atLeast"/>
        </w:trPr>
        <w:tc>
          <w:tcPr>
            <w:tcW w:w="297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238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254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130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111" w:type="dxa"/>
            <w:gridSpan w:val="3"/>
            <w:tcBorders>
              <w:top w:val="single" w:color="C2C3C4" w:sz="4" w:space="0"/>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本年拨款</w:t>
            </w:r>
          </w:p>
        </w:tc>
      </w:tr>
      <w:tr>
        <w:tblPrEx>
          <w:tblCellMar>
            <w:top w:w="0" w:type="dxa"/>
            <w:left w:w="108" w:type="dxa"/>
            <w:bottom w:w="0" w:type="dxa"/>
            <w:right w:w="108" w:type="dxa"/>
          </w:tblCellMar>
        </w:tblPrEx>
        <w:trPr>
          <w:trHeight w:val="690" w:hRule="atLeast"/>
        </w:trPr>
        <w:tc>
          <w:tcPr>
            <w:tcW w:w="2977"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693"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388"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544"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1305"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1701" w:type="dxa"/>
            <w:tcBorders>
              <w:top w:val="nil"/>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w:t>
            </w:r>
          </w:p>
        </w:tc>
        <w:tc>
          <w:tcPr>
            <w:tcW w:w="1134" w:type="dxa"/>
            <w:tcBorders>
              <w:top w:val="nil"/>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w:t>
            </w:r>
          </w:p>
        </w:tc>
        <w:tc>
          <w:tcPr>
            <w:tcW w:w="1276" w:type="dxa"/>
            <w:tcBorders>
              <w:top w:val="nil"/>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精准帮扶工作经费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志愿者工作经费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未成年人保护工作经费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11943．00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11943．00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预防青少年违法犯罪经费（阳光地带社区青年汇经费）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206000．00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206000．00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统战工作经费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北京市西城区青年联合会第三届委员会第一次全体会议工作经费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50202-会议费</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30215-会议费</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242000．00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242000．00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“聚力·金融街”党群服务中心工作经费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1463031．36</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1463031.36</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“聚力·金融街”党群服务中心信息化服务经费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青少年事务社工工资和管理经费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1374076.80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1374076.80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团干部培训工作经费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175238.00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175238.00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团建创新经费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五四青年节主题活动经费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社区青年汇建设日常活动经费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1656000.00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1656000.00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社区青年汇建设社会工作服务经费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2154000.00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2154000.00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少先队辅导员培训费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2050803-培训支出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50203-培训费</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30216-培训费</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94071.40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94071.40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全团带队活动工作经费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“聚力·金融街”党群服务中心社会工作服务经费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宣传工作经费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全团带队宣传工作经费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350000.00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350000.00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西城区冬奥、冬残奥城市志愿者工作经费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2608780.00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2608780.00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庆祝中国共产主义青年团成立100周年暨青年跟党走奋进新征程展览</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少先队校外服务和实践活动工作经费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388" w:type="dxa"/>
            <w:tcBorders>
              <w:top w:val="nil"/>
              <w:left w:val="nil"/>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544" w:type="dxa"/>
            <w:tcBorders>
              <w:top w:val="nil"/>
              <w:left w:val="nil"/>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1,5695140.56</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1,5695140.56</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330" w:hRule="atLeast"/>
        </w:trPr>
        <w:tc>
          <w:tcPr>
            <w:tcW w:w="2977" w:type="dxa"/>
            <w:tcBorders>
              <w:top w:val="nil"/>
              <w:left w:val="single" w:color="FFFFFF" w:sz="4" w:space="0"/>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93"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388"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44"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05"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01"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pPr>
        <w:sectPr>
          <w:pgSz w:w="16838" w:h="11906" w:orient="landscape"/>
          <w:pgMar w:top="1134" w:right="284" w:bottom="567" w:left="284" w:header="851" w:footer="992" w:gutter="0"/>
          <w:cols w:space="425" w:num="1"/>
          <w:docGrid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表五</w:t>
      </w:r>
    </w:p>
    <w:p>
      <w:pPr>
        <w:jc w:val="center"/>
        <w:rPr>
          <w:rFonts w:ascii="楷体_GB2312" w:hAnsi="宋体" w:eastAsia="楷体_GB2312"/>
          <w:b/>
          <w:sz w:val="36"/>
          <w:szCs w:val="36"/>
        </w:rPr>
      </w:pPr>
      <w:r>
        <w:rPr>
          <w:rFonts w:hint="eastAsia" w:ascii="宋体" w:hAnsi="宋体" w:cs="宋体"/>
          <w:b/>
          <w:bCs/>
          <w:color w:val="000000"/>
          <w:kern w:val="0"/>
          <w:sz w:val="32"/>
          <w:szCs w:val="32"/>
        </w:rPr>
        <w:t>财政拨款收支总体情况表</w:t>
      </w:r>
    </w:p>
    <w:p>
      <w:pPr>
        <w:jc w:val="center"/>
        <w:rPr>
          <w:rFonts w:ascii="楷体_GB2312" w:hAnsi="宋体" w:eastAsia="楷体_GB2312"/>
          <w:b/>
          <w:sz w:val="32"/>
          <w:szCs w:val="32"/>
        </w:rPr>
      </w:pPr>
      <w:r>
        <w:rPr>
          <w:rFonts w:hint="eastAsia" w:ascii="楷体_GB2312" w:hAnsi="宋体" w:eastAsia="楷体_GB2312"/>
          <w:sz w:val="28"/>
          <w:szCs w:val="28"/>
        </w:rPr>
        <w:t xml:space="preserve">                                                单位：元</w:t>
      </w:r>
    </w:p>
    <w:tbl>
      <w:tblPr>
        <w:tblStyle w:val="5"/>
        <w:tblW w:w="9720" w:type="dxa"/>
        <w:tblInd w:w="-540" w:type="dxa"/>
        <w:tblLayout w:type="fixed"/>
        <w:tblCellMar>
          <w:top w:w="0" w:type="dxa"/>
          <w:left w:w="108" w:type="dxa"/>
          <w:bottom w:w="0" w:type="dxa"/>
          <w:right w:w="108" w:type="dxa"/>
        </w:tblCellMar>
      </w:tblPr>
      <w:tblGrid>
        <w:gridCol w:w="3376"/>
        <w:gridCol w:w="1616"/>
        <w:gridCol w:w="3030"/>
        <w:gridCol w:w="1698"/>
      </w:tblGrid>
      <w:tr>
        <w:tblPrEx>
          <w:tblCellMar>
            <w:top w:w="0" w:type="dxa"/>
            <w:left w:w="108" w:type="dxa"/>
            <w:bottom w:w="0" w:type="dxa"/>
            <w:right w:w="108" w:type="dxa"/>
          </w:tblCellMar>
        </w:tblPrEx>
        <w:trPr>
          <w:trHeight w:val="624" w:hRule="atLeast"/>
        </w:trPr>
        <w:tc>
          <w:tcPr>
            <w:tcW w:w="3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一、本年收入</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一、本年支出</w:t>
            </w:r>
          </w:p>
        </w:tc>
        <w:tc>
          <w:tcPr>
            <w:tcW w:w="169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r>
      <w:tr>
        <w:tblPrEx>
          <w:tblCellMar>
            <w:top w:w="0" w:type="dxa"/>
            <w:left w:w="108" w:type="dxa"/>
            <w:bottom w:w="0" w:type="dxa"/>
            <w:right w:w="108" w:type="dxa"/>
          </w:tblCellMar>
        </w:tblPrEx>
        <w:trPr>
          <w:trHeight w:val="624" w:hRule="atLeast"/>
        </w:trPr>
        <w:tc>
          <w:tcPr>
            <w:tcW w:w="3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（一）一般公共预算财政拨款</w:t>
            </w:r>
          </w:p>
        </w:tc>
        <w:tc>
          <w:tcPr>
            <w:tcW w:w="161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c>
          <w:tcPr>
            <w:tcW w:w="303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169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1984385.29</w:t>
            </w:r>
          </w:p>
        </w:tc>
      </w:tr>
      <w:tr>
        <w:tblPrEx>
          <w:tblCellMar>
            <w:top w:w="0" w:type="dxa"/>
            <w:left w:w="108" w:type="dxa"/>
            <w:bottom w:w="0" w:type="dxa"/>
            <w:right w:w="108" w:type="dxa"/>
          </w:tblCellMar>
        </w:tblPrEx>
        <w:trPr>
          <w:trHeight w:val="624" w:hRule="atLeast"/>
        </w:trPr>
        <w:tc>
          <w:tcPr>
            <w:tcW w:w="3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3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（二）教育支出</w:t>
            </w:r>
          </w:p>
        </w:tc>
        <w:tc>
          <w:tcPr>
            <w:tcW w:w="169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1</w:t>
            </w:r>
            <w:r>
              <w:rPr>
                <w:rFonts w:hint="eastAsia" w:ascii="宋体" w:hAnsi="宋体" w:cs="宋体"/>
                <w:kern w:val="0"/>
                <w:sz w:val="20"/>
                <w:szCs w:val="20"/>
              </w:rPr>
              <w:t>89545.74</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（二）政府性基金预算财政拨款</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（三）社会保障和就业支出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1172215.04</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（四）卫生健康支出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630600.23</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二、上年结转</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（五）住房保障支出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1303862.52</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（一）一般公共预算财政拨款</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二、政府性基金预算财政拨款本年支出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（二）政府性基金预算财政拨款</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三、结转下年</w:t>
            </w:r>
          </w:p>
        </w:tc>
        <w:tc>
          <w:tcPr>
            <w:tcW w:w="169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61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r>
    </w:tbl>
    <w:p>
      <w:pPr>
        <w:widowControl/>
        <w:jc w:val="left"/>
        <w:rPr>
          <w:rFonts w:ascii="仿宋_GB2312" w:eastAsia="仿宋_GB2312"/>
          <w:sz w:val="32"/>
          <w:szCs w:val="32"/>
        </w:rPr>
        <w:sectPr>
          <w:pgSz w:w="11906" w:h="16838"/>
          <w:pgMar w:top="1134" w:right="1803" w:bottom="567" w:left="1803" w:header="851" w:footer="992" w:gutter="0"/>
          <w:cols w:space="720" w:num="1"/>
          <w:docGrid w:linePitch="319" w:charSpace="0"/>
        </w:sectPr>
      </w:pPr>
    </w:p>
    <w:p>
      <w:pPr>
        <w:autoSpaceDE w:val="0"/>
        <w:autoSpaceDN w:val="0"/>
        <w:adjustRightInd w:val="0"/>
        <w:spacing w:line="560" w:lineRule="exact"/>
        <w:jc w:val="left"/>
        <w:rPr>
          <w:rFonts w:ascii="仿宋_GB2312" w:hAnsi="Times New Roman" w:eastAsia="仿宋_GB2312" w:cs="Times New Roman"/>
          <w:sz w:val="32"/>
          <w:szCs w:val="32"/>
        </w:rPr>
      </w:pPr>
      <w:r>
        <w:rPr>
          <w:rFonts w:hint="eastAsia" w:ascii="仿宋_GB2312" w:eastAsia="仿宋_GB2312"/>
          <w:sz w:val="32"/>
          <w:szCs w:val="32"/>
        </w:rPr>
        <w:t>表六</w:t>
      </w:r>
    </w:p>
    <w:tbl>
      <w:tblPr>
        <w:tblStyle w:val="5"/>
        <w:tblW w:w="0" w:type="auto"/>
        <w:tblInd w:w="-50" w:type="dxa"/>
        <w:tblLayout w:type="fixed"/>
        <w:tblCellMar>
          <w:top w:w="0" w:type="dxa"/>
          <w:left w:w="108" w:type="dxa"/>
          <w:bottom w:w="0" w:type="dxa"/>
          <w:right w:w="108" w:type="dxa"/>
        </w:tblCellMar>
      </w:tblPr>
      <w:tblGrid>
        <w:gridCol w:w="1341"/>
        <w:gridCol w:w="2693"/>
        <w:gridCol w:w="1843"/>
        <w:gridCol w:w="1701"/>
        <w:gridCol w:w="2126"/>
      </w:tblGrid>
      <w:tr>
        <w:tblPrEx>
          <w:tblCellMar>
            <w:top w:w="0" w:type="dxa"/>
            <w:left w:w="108" w:type="dxa"/>
            <w:bottom w:w="0" w:type="dxa"/>
            <w:right w:w="108" w:type="dxa"/>
          </w:tblCellMar>
        </w:tblPrEx>
        <w:trPr>
          <w:trHeight w:val="630" w:hRule="atLeast"/>
        </w:trPr>
        <w:tc>
          <w:tcPr>
            <w:tcW w:w="9704" w:type="dxa"/>
            <w:gridSpan w:val="5"/>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bCs/>
                <w:color w:val="000000"/>
                <w:kern w:val="0"/>
                <w:sz w:val="32"/>
                <w:szCs w:val="32"/>
              </w:rPr>
              <w:t>一般公共预算财政拨款支出表</w:t>
            </w:r>
          </w:p>
        </w:tc>
      </w:tr>
      <w:tr>
        <w:tblPrEx>
          <w:tblCellMar>
            <w:top w:w="0" w:type="dxa"/>
            <w:left w:w="108" w:type="dxa"/>
            <w:bottom w:w="0" w:type="dxa"/>
            <w:right w:w="108" w:type="dxa"/>
          </w:tblCellMar>
        </w:tblPrEx>
        <w:trPr>
          <w:trHeight w:val="286" w:hRule="atLeast"/>
        </w:trPr>
        <w:tc>
          <w:tcPr>
            <w:tcW w:w="1341" w:type="dxa"/>
            <w:tcMar>
              <w:top w:w="15" w:type="dxa"/>
              <w:left w:w="15" w:type="dxa"/>
              <w:bottom w:w="15" w:type="dxa"/>
              <w:right w:w="15" w:type="dxa"/>
            </w:tcMar>
            <w:vAlign w:val="center"/>
          </w:tcPr>
          <w:p>
            <w:pPr>
              <w:jc w:val="left"/>
              <w:rPr>
                <w:rFonts w:ascii="宋体" w:hAnsi="宋体" w:cs="宋体"/>
                <w:color w:val="000000"/>
                <w:sz w:val="18"/>
                <w:szCs w:val="18"/>
              </w:rPr>
            </w:pPr>
          </w:p>
        </w:tc>
        <w:tc>
          <w:tcPr>
            <w:tcW w:w="2693" w:type="dxa"/>
            <w:tcMar>
              <w:top w:w="15" w:type="dxa"/>
              <w:left w:w="15" w:type="dxa"/>
              <w:bottom w:w="15" w:type="dxa"/>
              <w:right w:w="15" w:type="dxa"/>
            </w:tcMar>
            <w:vAlign w:val="center"/>
          </w:tcPr>
          <w:p>
            <w:pPr>
              <w:jc w:val="left"/>
              <w:rPr>
                <w:rFonts w:ascii="宋体" w:hAnsi="宋体" w:cs="宋体"/>
                <w:color w:val="000000"/>
                <w:sz w:val="18"/>
                <w:szCs w:val="18"/>
              </w:rPr>
            </w:pPr>
          </w:p>
        </w:tc>
        <w:tc>
          <w:tcPr>
            <w:tcW w:w="1843" w:type="dxa"/>
            <w:tcMar>
              <w:top w:w="15" w:type="dxa"/>
              <w:left w:w="15" w:type="dxa"/>
              <w:bottom w:w="15" w:type="dxa"/>
              <w:right w:w="15" w:type="dxa"/>
            </w:tcMar>
            <w:vAlign w:val="center"/>
          </w:tcPr>
          <w:p>
            <w:pPr>
              <w:jc w:val="left"/>
              <w:rPr>
                <w:rFonts w:ascii="宋体" w:hAnsi="宋体" w:cs="宋体"/>
                <w:color w:val="000000"/>
                <w:sz w:val="18"/>
                <w:szCs w:val="18"/>
              </w:rPr>
            </w:pPr>
          </w:p>
        </w:tc>
        <w:tc>
          <w:tcPr>
            <w:tcW w:w="1701" w:type="dxa"/>
            <w:tcMar>
              <w:top w:w="15" w:type="dxa"/>
              <w:left w:w="15" w:type="dxa"/>
              <w:bottom w:w="15" w:type="dxa"/>
              <w:right w:w="15" w:type="dxa"/>
            </w:tcMar>
            <w:vAlign w:val="center"/>
          </w:tcPr>
          <w:p>
            <w:pPr>
              <w:jc w:val="left"/>
              <w:rPr>
                <w:rFonts w:ascii="宋体" w:hAnsi="宋体" w:cs="宋体"/>
                <w:color w:val="000000"/>
                <w:sz w:val="18"/>
                <w:szCs w:val="18"/>
              </w:rPr>
            </w:pPr>
          </w:p>
        </w:tc>
        <w:tc>
          <w:tcPr>
            <w:tcW w:w="2126" w:type="dxa"/>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60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科目编码</w:t>
            </w:r>
          </w:p>
        </w:tc>
        <w:tc>
          <w:tcPr>
            <w:tcW w:w="2693"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科目名称</w:t>
            </w:r>
          </w:p>
        </w:tc>
        <w:tc>
          <w:tcPr>
            <w:tcW w:w="1843"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1701"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基本支出</w:t>
            </w:r>
          </w:p>
        </w:tc>
        <w:tc>
          <w:tcPr>
            <w:tcW w:w="2126"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群众团体事务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r>
              <w:rPr>
                <w:rFonts w:hint="eastAsia" w:ascii="宋体" w:hAnsi="宋体" w:cs="宋体"/>
                <w:color w:val="000000"/>
                <w:sz w:val="18"/>
                <w:szCs w:val="18"/>
              </w:rPr>
              <w:t>5601069.16</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一般行政管理事务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2012950</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事业运行</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2012999</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其他群众团体事务支出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进修及培训</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r>
      <w:tr>
        <w:tblPrEx>
          <w:tblCellMar>
            <w:top w:w="0" w:type="dxa"/>
            <w:left w:w="108" w:type="dxa"/>
            <w:bottom w:w="0" w:type="dxa"/>
            <w:right w:w="108" w:type="dxa"/>
          </w:tblCellMar>
        </w:tblPrEx>
        <w:trPr>
          <w:trHeight w:val="72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2050803</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2210203</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kern w:val="0"/>
                <w:sz w:val="18"/>
                <w:szCs w:val="18"/>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b/>
                <w:color w:val="000000"/>
                <w:kern w:val="0"/>
                <w:sz w:val="20"/>
                <w:szCs w:val="20"/>
              </w:rPr>
              <w:t>总计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 xml:space="preserve">25280608.82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 xml:space="preserve">9585468.26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 xml:space="preserve">15695140.56 </w:t>
            </w:r>
          </w:p>
        </w:tc>
      </w:tr>
    </w:tbl>
    <w:p>
      <w:pPr>
        <w:jc w:val="left"/>
        <w:rPr>
          <w:rFonts w:ascii="楷体_GB2312" w:hAnsi="宋体" w:eastAsia="楷体_GB2312" w:cs="楷体_GB2312"/>
          <w:sz w:val="28"/>
          <w:szCs w:val="28"/>
        </w:rPr>
      </w:pPr>
      <w:r>
        <w:rPr>
          <w:rFonts w:hint="eastAsia" w:ascii="楷体_GB2312" w:hAnsi="宋体" w:eastAsia="楷体_GB2312" w:cs="楷体_GB2312"/>
          <w:sz w:val="28"/>
          <w:szCs w:val="28"/>
        </w:rPr>
        <w:t xml:space="preserve"> </w:t>
      </w:r>
    </w:p>
    <w:p/>
    <w:p/>
    <w:p/>
    <w:p>
      <w:pPr>
        <w:sectPr>
          <w:pgSz w:w="11906" w:h="16838"/>
          <w:pgMar w:top="1134" w:right="567" w:bottom="567" w:left="1134" w:header="851" w:footer="992" w:gutter="0"/>
          <w:cols w:space="425" w:num="1"/>
          <w:docGrid w:linePitch="312" w:charSpace="0"/>
        </w:sectPr>
      </w:pPr>
    </w:p>
    <w:tbl>
      <w:tblPr>
        <w:tblStyle w:val="5"/>
        <w:tblpPr w:leftFromText="180" w:rightFromText="180" w:vertAnchor="text" w:tblpY="1"/>
        <w:tblOverlap w:val="never"/>
        <w:tblW w:w="13608" w:type="dxa"/>
        <w:tblInd w:w="817" w:type="dxa"/>
        <w:tblLayout w:type="autofit"/>
        <w:tblCellMar>
          <w:top w:w="0" w:type="dxa"/>
          <w:left w:w="108" w:type="dxa"/>
          <w:bottom w:w="0" w:type="dxa"/>
          <w:right w:w="108" w:type="dxa"/>
        </w:tblCellMar>
      </w:tblPr>
      <w:tblGrid>
        <w:gridCol w:w="3331"/>
        <w:gridCol w:w="4486"/>
        <w:gridCol w:w="1398"/>
        <w:gridCol w:w="424"/>
        <w:gridCol w:w="974"/>
        <w:gridCol w:w="585"/>
        <w:gridCol w:w="2410"/>
      </w:tblGrid>
      <w:tr>
        <w:tblPrEx>
          <w:tblCellMar>
            <w:top w:w="0" w:type="dxa"/>
            <w:left w:w="108" w:type="dxa"/>
            <w:bottom w:w="0" w:type="dxa"/>
            <w:right w:w="108" w:type="dxa"/>
          </w:tblCellMar>
        </w:tblPrEx>
        <w:trPr>
          <w:trHeight w:val="458" w:hRule="atLeast"/>
        </w:trPr>
        <w:tc>
          <w:tcPr>
            <w:tcW w:w="13608"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rPr>
                <w:rFonts w:ascii="宋体" w:hAnsi="宋体" w:eastAsia="宋体" w:cs="宋体"/>
                <w:b/>
                <w:bCs/>
                <w:kern w:val="0"/>
                <w:sz w:val="24"/>
                <w:szCs w:val="24"/>
              </w:rPr>
            </w:pPr>
            <w:r>
              <w:rPr>
                <w:rFonts w:hint="eastAsia" w:ascii="仿宋_GB2312" w:eastAsia="仿宋_GB2312"/>
                <w:sz w:val="32"/>
                <w:szCs w:val="32"/>
              </w:rPr>
              <w:t>表七</w:t>
            </w:r>
            <w:r>
              <w:rPr>
                <w:rFonts w:hint="eastAsia" w:ascii="宋体" w:hAnsi="宋体" w:eastAsia="宋体" w:cs="宋体"/>
                <w:b/>
                <w:bCs/>
                <w:kern w:val="0"/>
                <w:sz w:val="24"/>
                <w:szCs w:val="24"/>
              </w:rPr>
              <w:t xml:space="preserve">                                      一般公共预算财政拨款基本支出表</w:t>
            </w:r>
          </w:p>
        </w:tc>
      </w:tr>
      <w:tr>
        <w:tblPrEx>
          <w:tblCellMar>
            <w:top w:w="0" w:type="dxa"/>
            <w:left w:w="108" w:type="dxa"/>
            <w:bottom w:w="0" w:type="dxa"/>
            <w:right w:w="108" w:type="dxa"/>
          </w:tblCellMar>
        </w:tblPrEx>
        <w:trPr>
          <w:trHeight w:val="390" w:hRule="atLeast"/>
        </w:trPr>
        <w:tc>
          <w:tcPr>
            <w:tcW w:w="7817" w:type="dxa"/>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98"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98" w:type="dxa"/>
            <w:gridSpan w:val="2"/>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95" w:type="dxa"/>
            <w:gridSpan w:val="2"/>
            <w:tcBorders>
              <w:top w:val="nil"/>
              <w:left w:val="nil"/>
              <w:bottom w:val="nil"/>
              <w:right w:val="single" w:color="FFFFFF"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金额单位：元</w:t>
            </w:r>
          </w:p>
        </w:tc>
      </w:tr>
      <w:tr>
        <w:tblPrEx>
          <w:tblCellMar>
            <w:top w:w="0" w:type="dxa"/>
            <w:left w:w="108" w:type="dxa"/>
            <w:bottom w:w="0" w:type="dxa"/>
            <w:right w:w="108" w:type="dxa"/>
          </w:tblCellMar>
        </w:tblPrEx>
        <w:trPr>
          <w:trHeight w:val="402" w:hRule="atLeast"/>
        </w:trPr>
        <w:tc>
          <w:tcPr>
            <w:tcW w:w="3331"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4486"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5791" w:type="dxa"/>
            <w:gridSpan w:val="5"/>
            <w:tcBorders>
              <w:top w:val="single" w:color="C2C3C4" w:sz="4" w:space="0"/>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本年预算数</w:t>
            </w:r>
          </w:p>
        </w:tc>
      </w:tr>
      <w:tr>
        <w:tblPrEx>
          <w:tblCellMar>
            <w:top w:w="0" w:type="dxa"/>
            <w:left w:w="108" w:type="dxa"/>
            <w:bottom w:w="0" w:type="dxa"/>
            <w:right w:w="108" w:type="dxa"/>
          </w:tblCellMar>
        </w:tblPrEx>
        <w:trPr>
          <w:trHeight w:val="423" w:hRule="atLeast"/>
        </w:trPr>
        <w:tc>
          <w:tcPr>
            <w:tcW w:w="3331"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4486"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1822" w:type="dxa"/>
            <w:gridSpan w:val="2"/>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559" w:type="dxa"/>
            <w:gridSpan w:val="2"/>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241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30101-基本工资</w:t>
            </w:r>
          </w:p>
        </w:tc>
        <w:tc>
          <w:tcPr>
            <w:tcW w:w="1822"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1097988.00</w:t>
            </w:r>
          </w:p>
        </w:tc>
        <w:tc>
          <w:tcPr>
            <w:tcW w:w="1559" w:type="dxa"/>
            <w:gridSpan w:val="2"/>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1097988.00</w:t>
            </w:r>
          </w:p>
        </w:tc>
        <w:tc>
          <w:tcPr>
            <w:tcW w:w="2410"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30102-津贴补贴</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3430754.00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3430754.00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30103-奖金</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380000.00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380000.00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30107-绩效工资</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1087178.00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1087178.00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30108-机关事业单位基本养老保险缴费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776123.36</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776123.36</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30109-职业年金缴费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388061.68</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388061.68</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30110-职工基本医疗保险缴费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630600.23</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630600.23</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30112-其他社会保障缴费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66379.01</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66379.01</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50103-住房公积金</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30113-住房公积金</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658442.52</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658442.52</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50199-其他工资福利支出</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30199-其他工资福利支出</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54861.00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54861.00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30201-办公费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79200.00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79200.00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30205-水费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13200.00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13200.00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30206-电费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89100.00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30207-邮电费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34000.00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34000.00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30211-差旅费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21318.00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21318.00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30228-工会经费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89151.12</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89151.12</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30229-福利费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111672.00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111672.00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30239-其他交通费用</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154080.00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154080.00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50202-会议费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30215-会议费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8415.00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8415.00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50203-培训费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30216-培训费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28611.00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28611.00</w:t>
            </w:r>
          </w:p>
        </w:tc>
      </w:tr>
      <w:tr>
        <w:tblPrEx>
          <w:tblCellMar>
            <w:top w:w="0" w:type="dxa"/>
            <w:left w:w="108" w:type="dxa"/>
            <w:bottom w:w="0" w:type="dxa"/>
            <w:right w:w="108" w:type="dxa"/>
          </w:tblCellMar>
        </w:tblPrEx>
        <w:trPr>
          <w:trHeight w:val="27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50208-公务用车运行维护费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30231-公务用车运行维护费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24500.00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24500.00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50209-维修（护）费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30213-维修（护）费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6600.00</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347143.34</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347143.34</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50901-社会福利和救助</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30309-奖励金</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50905-离退休费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30302-退休费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8030.00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8030.00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4486"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9585468.26</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8732557.80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852910.46</w:t>
            </w:r>
          </w:p>
        </w:tc>
      </w:tr>
      <w:tr>
        <w:tblPrEx>
          <w:tblCellMar>
            <w:top w:w="0" w:type="dxa"/>
            <w:left w:w="108" w:type="dxa"/>
            <w:bottom w:w="0" w:type="dxa"/>
            <w:right w:w="108" w:type="dxa"/>
          </w:tblCellMar>
        </w:tblPrEx>
        <w:trPr>
          <w:trHeight w:val="330" w:hRule="atLeast"/>
        </w:trPr>
        <w:tc>
          <w:tcPr>
            <w:tcW w:w="3331" w:type="dxa"/>
            <w:tcBorders>
              <w:top w:val="nil"/>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486"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2" w:type="dxa"/>
            <w:gridSpan w:val="2"/>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9" w:type="dxa"/>
            <w:gridSpan w:val="2"/>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ectPr>
          <w:pgSz w:w="16838" w:h="11906" w:orient="landscape"/>
          <w:pgMar w:top="567" w:right="1134" w:bottom="284" w:left="567" w:header="851" w:footer="992" w:gutter="0"/>
          <w:cols w:space="425" w:num="1"/>
          <w:docGrid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表八</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政府性基金预算财政拨款支出表</w:t>
      </w:r>
    </w:p>
    <w:p>
      <w:pPr>
        <w:ind w:right="440" w:firstLine="8119" w:firstLineChars="3676"/>
        <w:rPr>
          <w:rFonts w:ascii="楷体_GB2312" w:hAnsi="宋体" w:eastAsia="楷体_GB2312"/>
          <w:b/>
          <w:bCs/>
          <w:sz w:val="22"/>
          <w:szCs w:val="36"/>
        </w:rPr>
      </w:pPr>
      <w:r>
        <w:rPr>
          <w:rFonts w:hint="eastAsia" w:ascii="楷体_GB2312" w:hAnsi="宋体" w:eastAsia="楷体_GB2312" w:cs="楷体_GB2312"/>
          <w:b/>
          <w:bCs/>
          <w:sz w:val="22"/>
          <w:szCs w:val="36"/>
        </w:rPr>
        <w:t>单位：元</w:t>
      </w:r>
    </w:p>
    <w:tbl>
      <w:tblPr>
        <w:tblStyle w:val="5"/>
        <w:tblW w:w="0" w:type="auto"/>
        <w:jc w:val="center"/>
        <w:tblLayout w:type="fixed"/>
        <w:tblCellMar>
          <w:top w:w="0" w:type="dxa"/>
          <w:left w:w="108" w:type="dxa"/>
          <w:bottom w:w="0" w:type="dxa"/>
          <w:right w:w="108" w:type="dxa"/>
        </w:tblCellMar>
      </w:tblPr>
      <w:tblGrid>
        <w:gridCol w:w="1158"/>
        <w:gridCol w:w="1995"/>
        <w:gridCol w:w="1890"/>
        <w:gridCol w:w="1890"/>
        <w:gridCol w:w="2100"/>
      </w:tblGrid>
      <w:tr>
        <w:tblPrEx>
          <w:tblCellMar>
            <w:top w:w="0" w:type="dxa"/>
            <w:left w:w="108" w:type="dxa"/>
            <w:bottom w:w="0" w:type="dxa"/>
            <w:right w:w="108" w:type="dxa"/>
          </w:tblCellMar>
        </w:tblPrEx>
        <w:trPr>
          <w:trHeight w:val="600" w:hRule="atLeast"/>
          <w:tblHeader/>
          <w:jc w:val="center"/>
        </w:trPr>
        <w:tc>
          <w:tcPr>
            <w:tcW w:w="1158" w:type="dxa"/>
            <w:tcBorders>
              <w:top w:val="single" w:color="000000" w:sz="4" w:space="0"/>
              <w:left w:val="single" w:color="000000" w:sz="4" w:space="0"/>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科目编码</w:t>
            </w:r>
          </w:p>
        </w:tc>
        <w:tc>
          <w:tcPr>
            <w:tcW w:w="1995"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科目名称</w:t>
            </w:r>
          </w:p>
        </w:tc>
        <w:tc>
          <w:tcPr>
            <w:tcW w:w="1890"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总计</w:t>
            </w:r>
          </w:p>
        </w:tc>
        <w:tc>
          <w:tcPr>
            <w:tcW w:w="1890"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2100"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390"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18"/>
              </w:rPr>
            </w:pPr>
            <w:r>
              <w:rPr>
                <w:rFonts w:hint="eastAsia" w:ascii="宋体" w:hAnsi="宋体" w:cs="宋体"/>
                <w:color w:val="000000"/>
                <w:kern w:val="0"/>
                <w:sz w:val="22"/>
                <w:szCs w:val="18"/>
              </w:rPr>
              <w:t>　</w:t>
            </w:r>
          </w:p>
        </w:tc>
        <w:tc>
          <w:tcPr>
            <w:tcW w:w="199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18"/>
              </w:rPr>
            </w:pPr>
            <w:r>
              <w:rPr>
                <w:rFonts w:hint="eastAsia" w:ascii="宋体" w:hAnsi="宋体" w:cs="宋体"/>
                <w:color w:val="000000"/>
                <w:kern w:val="0"/>
                <w:sz w:val="22"/>
                <w:szCs w:val="18"/>
              </w:rPr>
              <w:t>总计</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r>
    </w:tbl>
    <w:p>
      <w:pPr>
        <w:jc w:val="left"/>
        <w:rPr>
          <w:rFonts w:ascii="楷体_GB2312" w:hAnsi="宋体" w:eastAsia="楷体_GB2312" w:cs="楷体_GB2312"/>
          <w:bCs/>
          <w:sz w:val="24"/>
        </w:rPr>
      </w:pPr>
      <w:r>
        <w:rPr>
          <w:rFonts w:hint="eastAsia" w:ascii="楷体_GB2312" w:hAnsi="宋体" w:eastAsia="楷体_GB2312" w:cs="楷体_GB2312"/>
          <w:bCs/>
          <w:sz w:val="24"/>
        </w:rPr>
        <w:t xml:space="preserve"> </w:t>
      </w:r>
    </w:p>
    <w:p>
      <w:r>
        <w:rPr/>
        <w:br w:type="textWrapping" w:clear="all"/>
      </w:r>
    </w:p>
    <w:p/>
    <w:p/>
    <w:p/>
    <w:p/>
    <w:p/>
    <w:p/>
    <w:p/>
    <w:p/>
    <w:p/>
    <w:p/>
    <w:p/>
    <w:p/>
    <w:p/>
    <w:p/>
    <w:p/>
    <w:p/>
    <w:p/>
    <w:p/>
    <w:p/>
    <w:p/>
    <w:p/>
    <w:p/>
    <w:p/>
    <w:p/>
    <w:p/>
    <w:p/>
    <w:p/>
    <w:p/>
    <w:p/>
    <w:p/>
    <w:p/>
    <w:p/>
    <w:p/>
    <w:p/>
    <w:p/>
    <w:p/>
    <w:p/>
    <w:tbl>
      <w:tblPr>
        <w:tblStyle w:val="5"/>
        <w:tblW w:w="10788" w:type="dxa"/>
        <w:tblInd w:w="93" w:type="dxa"/>
        <w:tblLayout w:type="autofit"/>
        <w:tblCellMar>
          <w:top w:w="0" w:type="dxa"/>
          <w:left w:w="108" w:type="dxa"/>
          <w:bottom w:w="0" w:type="dxa"/>
          <w:right w:w="108" w:type="dxa"/>
        </w:tblCellMar>
      </w:tblPr>
      <w:tblGrid>
        <w:gridCol w:w="2000"/>
        <w:gridCol w:w="2693"/>
        <w:gridCol w:w="2693"/>
        <w:gridCol w:w="893"/>
        <w:gridCol w:w="1061"/>
        <w:gridCol w:w="1448"/>
      </w:tblGrid>
      <w:tr>
        <w:tblPrEx>
          <w:tblCellMar>
            <w:top w:w="0" w:type="dxa"/>
            <w:left w:w="108" w:type="dxa"/>
            <w:bottom w:w="0" w:type="dxa"/>
            <w:right w:w="108" w:type="dxa"/>
          </w:tblCellMar>
        </w:tblPrEx>
        <w:trPr>
          <w:trHeight w:val="458" w:hRule="atLeast"/>
        </w:trPr>
        <w:tc>
          <w:tcPr>
            <w:tcW w:w="10788"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rPr>
                <w:rFonts w:hint="eastAsia" w:ascii="宋体" w:hAnsi="宋体" w:eastAsia="宋体" w:cs="宋体"/>
                <w:b/>
                <w:bCs/>
                <w:kern w:val="0"/>
                <w:sz w:val="28"/>
                <w:szCs w:val="28"/>
              </w:rPr>
            </w:pPr>
            <w:r>
              <w:rPr>
                <w:rFonts w:hint="eastAsia" w:ascii="仿宋_GB2312" w:eastAsia="仿宋_GB2312"/>
                <w:sz w:val="32"/>
                <w:szCs w:val="32"/>
              </w:rPr>
              <w:t>表九</w:t>
            </w:r>
            <w:r>
              <w:rPr>
                <w:rFonts w:hint="eastAsia" w:ascii="宋体" w:hAnsi="宋体" w:eastAsia="宋体" w:cs="宋体"/>
                <w:b/>
                <w:bCs/>
                <w:kern w:val="0"/>
                <w:sz w:val="24"/>
                <w:szCs w:val="24"/>
              </w:rPr>
              <w:t xml:space="preserve">                       </w:t>
            </w:r>
            <w:r>
              <w:rPr>
                <w:rFonts w:hint="eastAsia" w:ascii="宋体" w:hAnsi="宋体" w:eastAsia="宋体" w:cs="宋体"/>
                <w:b/>
                <w:bCs/>
                <w:kern w:val="0"/>
                <w:sz w:val="28"/>
                <w:szCs w:val="28"/>
              </w:rPr>
              <w:t xml:space="preserve"> </w:t>
            </w:r>
          </w:p>
          <w:p>
            <w:pPr>
              <w:widowControl/>
              <w:jc w:val="center"/>
              <w:rPr>
                <w:rFonts w:ascii="宋体" w:hAnsi="宋体" w:eastAsia="宋体" w:cs="宋体"/>
                <w:b/>
                <w:bCs/>
                <w:kern w:val="0"/>
                <w:sz w:val="24"/>
                <w:szCs w:val="24"/>
              </w:rPr>
            </w:pPr>
            <w:r>
              <w:rPr>
                <w:rFonts w:hint="eastAsia" w:ascii="宋体" w:hAnsi="宋体" w:eastAsia="宋体" w:cs="宋体"/>
                <w:b/>
                <w:bCs/>
                <w:kern w:val="0"/>
                <w:sz w:val="28"/>
                <w:szCs w:val="28"/>
              </w:rPr>
              <w:t>国有资本经营预算财政拨款支出表</w:t>
            </w:r>
          </w:p>
        </w:tc>
      </w:tr>
      <w:tr>
        <w:tblPrEx>
          <w:tblCellMar>
            <w:top w:w="0" w:type="dxa"/>
            <w:left w:w="108" w:type="dxa"/>
            <w:bottom w:w="0" w:type="dxa"/>
            <w:right w:w="108" w:type="dxa"/>
          </w:tblCellMar>
        </w:tblPrEx>
        <w:trPr>
          <w:trHeight w:val="390" w:hRule="atLeast"/>
        </w:trPr>
        <w:tc>
          <w:tcPr>
            <w:tcW w:w="7386" w:type="dxa"/>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93"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1"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8" w:type="dxa"/>
            <w:tcBorders>
              <w:top w:val="nil"/>
              <w:left w:val="nil"/>
              <w:bottom w:val="nil"/>
              <w:right w:val="single" w:color="FFFFFF"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金额单位：元</w:t>
            </w:r>
          </w:p>
        </w:tc>
      </w:tr>
      <w:tr>
        <w:tblPrEx>
          <w:tblCellMar>
            <w:top w:w="0" w:type="dxa"/>
            <w:left w:w="108" w:type="dxa"/>
            <w:bottom w:w="0" w:type="dxa"/>
            <w:right w:w="108" w:type="dxa"/>
          </w:tblCellMar>
        </w:tblPrEx>
        <w:trPr>
          <w:trHeight w:val="462" w:hRule="atLeast"/>
        </w:trPr>
        <w:tc>
          <w:tcPr>
            <w:tcW w:w="200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3402" w:type="dxa"/>
            <w:gridSpan w:val="3"/>
            <w:tcBorders>
              <w:top w:val="single" w:color="C2C3C4" w:sz="4" w:space="0"/>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本年国有资本经营预算支出</w:t>
            </w:r>
          </w:p>
        </w:tc>
      </w:tr>
      <w:tr>
        <w:tblPrEx>
          <w:tblCellMar>
            <w:top w:w="0" w:type="dxa"/>
            <w:left w:w="108" w:type="dxa"/>
            <w:bottom w:w="0" w:type="dxa"/>
            <w:right w:w="108" w:type="dxa"/>
          </w:tblCellMar>
        </w:tblPrEx>
        <w:trPr>
          <w:trHeight w:val="462" w:hRule="atLeast"/>
        </w:trPr>
        <w:tc>
          <w:tcPr>
            <w:tcW w:w="200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693"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693"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893"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061"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448"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893" w:type="dxa"/>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61"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48"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表十</w:t>
      </w:r>
    </w:p>
    <w:p>
      <w:pPr>
        <w:jc w:val="center"/>
        <w:rPr>
          <w:rFonts w:ascii="宋体" w:hAnsi="宋体" w:cs="宋体"/>
          <w:b/>
          <w:bCs/>
          <w:sz w:val="32"/>
          <w:szCs w:val="32"/>
        </w:rPr>
      </w:pPr>
      <w:r>
        <w:rPr>
          <w:rFonts w:hint="eastAsia" w:ascii="仿宋_GB2312" w:hAnsi="Calibri" w:eastAsia="仿宋_GB2312" w:cs="Times New Roman"/>
          <w:sz w:val="32"/>
          <w:szCs w:val="32"/>
        </w:rPr>
        <w:t>一般公共预算“三公”经费支出情况表</w:t>
      </w:r>
    </w:p>
    <w:p>
      <w:pPr>
        <w:rPr>
          <w:rFonts w:ascii="楷体_GB2312" w:hAnsi="宋体" w:eastAsia="楷体_GB2312" w:cs="楷体_GB2312"/>
          <w:sz w:val="28"/>
          <w:szCs w:val="28"/>
        </w:rPr>
      </w:pP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xml:space="preserve">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xml:space="preserve">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单位：元</w:t>
      </w:r>
    </w:p>
    <w:tbl>
      <w:tblPr>
        <w:tblStyle w:val="5"/>
        <w:tblW w:w="0" w:type="auto"/>
        <w:tblInd w:w="724" w:type="dxa"/>
        <w:tblLayout w:type="fixed"/>
        <w:tblCellMar>
          <w:top w:w="15" w:type="dxa"/>
          <w:left w:w="15" w:type="dxa"/>
          <w:bottom w:w="15" w:type="dxa"/>
          <w:right w:w="15" w:type="dxa"/>
        </w:tblCellMar>
      </w:tblPr>
      <w:tblGrid>
        <w:gridCol w:w="3430"/>
        <w:gridCol w:w="2727"/>
        <w:gridCol w:w="2720"/>
      </w:tblGrid>
      <w:tr>
        <w:tblPrEx>
          <w:tblCellMar>
            <w:top w:w="15" w:type="dxa"/>
            <w:left w:w="15" w:type="dxa"/>
            <w:bottom w:w="15" w:type="dxa"/>
            <w:right w:w="15" w:type="dxa"/>
          </w:tblCellMar>
        </w:tblPrEx>
        <w:trPr>
          <w:trHeight w:val="450" w:hRule="atLeast"/>
        </w:trPr>
        <w:tc>
          <w:tcPr>
            <w:tcW w:w="3430"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widowControl/>
              <w:jc w:val="center"/>
              <w:textAlignment w:val="center"/>
              <w:rPr>
                <w:rFonts w:ascii="宋体" w:hAnsi="宋体" w:cs="宋体"/>
                <w:b/>
                <w:color w:val="000000"/>
                <w:sz w:val="18"/>
                <w:szCs w:val="18"/>
              </w:rPr>
            </w:pPr>
            <w:r>
              <w:rPr>
                <w:rFonts w:ascii="宋体" w:hAnsi="宋体" w:cs="宋体"/>
                <w:b/>
                <w:color w:val="000000"/>
                <w:kern w:val="0"/>
                <w:sz w:val="18"/>
                <w:szCs w:val="18"/>
              </w:rPr>
              <w:t>项目</w:t>
            </w:r>
          </w:p>
        </w:tc>
        <w:tc>
          <w:tcPr>
            <w:tcW w:w="2727"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2021年</w:t>
            </w:r>
            <w:r>
              <w:rPr>
                <w:rFonts w:ascii="宋体" w:hAnsi="宋体" w:cs="宋体"/>
                <w:b/>
                <w:color w:val="000000"/>
                <w:kern w:val="0"/>
                <w:sz w:val="18"/>
                <w:szCs w:val="18"/>
              </w:rPr>
              <w:t>度预算</w:t>
            </w:r>
          </w:p>
        </w:tc>
        <w:tc>
          <w:tcPr>
            <w:tcW w:w="2720"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2022年度预算</w:t>
            </w:r>
          </w:p>
        </w:tc>
      </w:tr>
      <w:tr>
        <w:tblPrEx>
          <w:tblCellMar>
            <w:top w:w="15" w:type="dxa"/>
            <w:left w:w="15" w:type="dxa"/>
            <w:bottom w:w="15" w:type="dxa"/>
            <w:right w:w="15" w:type="dxa"/>
          </w:tblCellMar>
        </w:tblPrEx>
        <w:trPr>
          <w:trHeight w:val="330" w:hRule="atLeast"/>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1、因公出国（境）费</w:t>
            </w: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30" w:hRule="atLeast"/>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2、公务接待费</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4,295.05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330" w:hRule="atLeast"/>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3、公务用车购置及运行维护费</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330" w:hRule="atLeast"/>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其中：公务用车购置费</w:t>
            </w: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30" w:hRule="atLeast"/>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公务用车运行维护费</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330" w:hRule="atLeast"/>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总计</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4,295.05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r>
    </w:tbl>
    <w:p/>
    <w:p/>
    <w:p>
      <w:pPr>
        <w:sectPr>
          <w:pgSz w:w="11906" w:h="16838"/>
          <w:pgMar w:top="1134" w:right="284" w:bottom="567" w:left="567" w:header="851" w:footer="992" w:gutter="0"/>
          <w:cols w:space="425" w:num="1"/>
          <w:docGrid w:linePitch="312" w:charSpace="0"/>
        </w:sectPr>
      </w:pPr>
    </w:p>
    <w:p/>
    <w:p>
      <w:pPr>
        <w:autoSpaceDE w:val="0"/>
        <w:autoSpaceDN w:val="0"/>
        <w:adjustRightInd w:val="0"/>
        <w:spacing w:line="560" w:lineRule="exact"/>
        <w:jc w:val="left"/>
      </w:pPr>
      <w:r>
        <w:rPr>
          <w:rFonts w:hint="eastAsia" w:ascii="仿宋_GB2312" w:hAnsi="Calibri" w:eastAsia="仿宋_GB2312" w:cs="Times New Roman"/>
          <w:sz w:val="32"/>
          <w:szCs w:val="32"/>
        </w:rPr>
        <w:t>表十</w:t>
      </w:r>
      <w:r>
        <w:rPr>
          <w:rFonts w:hint="eastAsia" w:ascii="仿宋_GB2312" w:eastAsia="仿宋_GB2312"/>
          <w:sz w:val="32"/>
          <w:szCs w:val="32"/>
        </w:rPr>
        <w:t>一</w:t>
      </w:r>
    </w:p>
    <w:tbl>
      <w:tblPr>
        <w:tblStyle w:val="5"/>
        <w:tblW w:w="1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05"/>
        <w:gridCol w:w="1846"/>
        <w:gridCol w:w="2406"/>
        <w:gridCol w:w="2927"/>
        <w:gridCol w:w="2462"/>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4915"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5151" w:type="dxa"/>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部门/单位：中国共产主义青年团北京市西城区委员会</w:t>
            </w:r>
          </w:p>
        </w:tc>
        <w:tc>
          <w:tcPr>
            <w:tcW w:w="2406"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2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30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179"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指导性目录</w:t>
            </w:r>
          </w:p>
        </w:tc>
        <w:tc>
          <w:tcPr>
            <w:tcW w:w="24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服务领域</w:t>
            </w:r>
          </w:p>
        </w:tc>
        <w:tc>
          <w:tcPr>
            <w:tcW w:w="196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30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4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240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2927"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24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604.525000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11010222T000000416155-“聚力·金融街”党群服务中心信息化服务经费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05-政府履职所需辅助性服务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0511-机关信息系统建设与维护</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机关信息系统建设与维护服务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11010222T000000418588-社区青年汇建设日常活动经费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0210-志愿服务运营管理</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志愿服务阵地运营管理</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11010222T000000418588-社区青年汇建设日常活动经费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05-政府履职所需辅助性服务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0503-财务会计审计服务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财务会计审计服务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11010222T000000418592-社区青年汇建设社会工作服务经费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0201-社区建设</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社区青年汇社会工作服务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11010222T000000418674-“聚力·金融街”党群服务中心社会工作服务经费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0203-社会工作服务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区域性青年大型群体活动服务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11010222T000001276822-少先队校外服务和实践活动工作经费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0203-社会工作服务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青（少）年社会工作服务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r>
    </w:tbl>
    <w:p/>
    <w:p>
      <w:pPr>
        <w:sectPr>
          <w:pgSz w:w="16838" w:h="11906" w:orient="landscape"/>
          <w:pgMar w:top="567" w:right="1134" w:bottom="284" w:left="567" w:header="851" w:footer="992" w:gutter="0"/>
          <w:cols w:space="425" w:num="1"/>
          <w:docGrid w:linePitch="312" w:charSpace="0"/>
        </w:sectPr>
      </w:pPr>
    </w:p>
    <w:p>
      <w:pPr>
        <w:autoSpaceDE w:val="0"/>
        <w:autoSpaceDN w:val="0"/>
        <w:adjustRightIn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表十二</w:t>
      </w:r>
    </w:p>
    <w:p/>
    <w:p>
      <w:pPr>
        <w:jc w:val="center"/>
        <w:rPr>
          <w:rFonts w:ascii="楷体_GB2312" w:hAnsi="宋体" w:eastAsia="楷体_GB2312" w:cs="宋体"/>
          <w:b/>
          <w:bCs/>
          <w:kern w:val="0"/>
          <w:sz w:val="36"/>
          <w:szCs w:val="36"/>
        </w:rPr>
      </w:pPr>
      <w:r>
        <w:rPr>
          <w:rFonts w:hint="eastAsia" w:ascii="楷体_GB2312" w:hAnsi="宋体" w:eastAsia="楷体_GB2312" w:cs="宋体"/>
          <w:b/>
          <w:bCs/>
          <w:kern w:val="0"/>
          <w:sz w:val="36"/>
          <w:szCs w:val="36"/>
        </w:rPr>
        <w:t>2022年市级提前告知专项转移支付预算表</w:t>
      </w:r>
    </w:p>
    <w:tbl>
      <w:tblPr>
        <w:tblStyle w:val="5"/>
        <w:tblW w:w="0" w:type="auto"/>
        <w:tblInd w:w="0" w:type="dxa"/>
        <w:tblLayout w:type="fixed"/>
        <w:tblCellMar>
          <w:top w:w="0" w:type="dxa"/>
          <w:left w:w="108" w:type="dxa"/>
          <w:bottom w:w="0" w:type="dxa"/>
          <w:right w:w="108" w:type="dxa"/>
        </w:tblCellMar>
      </w:tblPr>
      <w:tblGrid>
        <w:gridCol w:w="1135"/>
        <w:gridCol w:w="1134"/>
        <w:gridCol w:w="1134"/>
        <w:gridCol w:w="1134"/>
        <w:gridCol w:w="1213"/>
        <w:gridCol w:w="1197"/>
        <w:gridCol w:w="709"/>
        <w:gridCol w:w="1275"/>
        <w:gridCol w:w="1276"/>
      </w:tblGrid>
      <w:tr>
        <w:tblPrEx>
          <w:tblCellMar>
            <w:top w:w="0" w:type="dxa"/>
            <w:left w:w="108" w:type="dxa"/>
            <w:bottom w:w="0" w:type="dxa"/>
            <w:right w:w="108" w:type="dxa"/>
          </w:tblCellMar>
        </w:tblPrEx>
        <w:trPr>
          <w:trHeight w:val="270" w:hRule="atLeast"/>
        </w:trPr>
        <w:tc>
          <w:tcPr>
            <w:tcW w:w="2269" w:type="dxa"/>
            <w:gridSpan w:val="2"/>
          </w:tcPr>
          <w:p>
            <w:pPr>
              <w:widowControl/>
              <w:ind w:right="330"/>
              <w:jc w:val="right"/>
              <w:rPr>
                <w:rFonts w:ascii="宋体" w:hAnsi="宋体" w:cs="宋体"/>
                <w:color w:val="000000"/>
                <w:kern w:val="0"/>
                <w:sz w:val="22"/>
              </w:rPr>
            </w:pPr>
          </w:p>
        </w:tc>
        <w:tc>
          <w:tcPr>
            <w:tcW w:w="7938" w:type="dxa"/>
            <w:gridSpan w:val="7"/>
            <w:vAlign w:val="center"/>
          </w:tcPr>
          <w:p>
            <w:pPr>
              <w:widowControl/>
              <w:ind w:right="330"/>
              <w:jc w:val="right"/>
              <w:rPr>
                <w:rFonts w:ascii="宋体" w:hAnsi="宋体" w:cs="宋体"/>
                <w:color w:val="000000"/>
                <w:kern w:val="0"/>
                <w:sz w:val="22"/>
              </w:rPr>
            </w:pPr>
            <w:r>
              <w:rPr>
                <w:rFonts w:hint="eastAsia" w:ascii="宋体" w:hAnsi="宋体" w:cs="宋体"/>
                <w:color w:val="000000"/>
                <w:kern w:val="0"/>
                <w:sz w:val="22"/>
              </w:rPr>
              <w:t>单位：元</w:t>
            </w:r>
          </w:p>
        </w:tc>
      </w:tr>
      <w:tr>
        <w:tblPrEx>
          <w:tblCellMar>
            <w:top w:w="0" w:type="dxa"/>
            <w:left w:w="108" w:type="dxa"/>
            <w:bottom w:w="0" w:type="dxa"/>
            <w:right w:w="108" w:type="dxa"/>
          </w:tblCellMar>
        </w:tblPrEx>
        <w:trPr>
          <w:trHeight w:val="480"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预算单位代码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功能科目代码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是否采购</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指标金额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市指标文号</w:t>
            </w:r>
          </w:p>
        </w:tc>
      </w:tr>
      <w:tr>
        <w:tblPrEx>
          <w:tblCellMar>
            <w:top w:w="0" w:type="dxa"/>
            <w:left w:w="108" w:type="dxa"/>
            <w:bottom w:w="0" w:type="dxa"/>
            <w:right w:w="108" w:type="dxa"/>
          </w:tblCellMar>
        </w:tblPrEx>
        <w:trPr>
          <w:trHeight w:val="454"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sectPr>
      <w:pgSz w:w="11906" w:h="16838"/>
      <w:pgMar w:top="567" w:right="567" w:bottom="284" w:left="56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rPr>
                        <w:rFonts w:hint="eastAsia"/>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EB832"/>
    <w:multiLevelType w:val="singleLevel"/>
    <w:tmpl w:val="B0CEB832"/>
    <w:lvl w:ilvl="0" w:tentative="0">
      <w:start w:val="1"/>
      <w:numFmt w:val="chineseCounting"/>
      <w:suff w:val="space"/>
      <w:lvlText w:val="第%1部分"/>
      <w:lvlJc w:val="left"/>
      <w:rPr>
        <w:rFonts w:hint="eastAsia"/>
      </w:rPr>
    </w:lvl>
  </w:abstractNum>
  <w:abstractNum w:abstractNumId="1">
    <w:nsid w:val="18C44DC0"/>
    <w:multiLevelType w:val="singleLevel"/>
    <w:tmpl w:val="18C44DC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50"/>
    <w:rsid w:val="000322D0"/>
    <w:rsid w:val="000838F5"/>
    <w:rsid w:val="000C44B5"/>
    <w:rsid w:val="000F02B4"/>
    <w:rsid w:val="001034D3"/>
    <w:rsid w:val="00105AA6"/>
    <w:rsid w:val="0011190C"/>
    <w:rsid w:val="00147BDC"/>
    <w:rsid w:val="0016357A"/>
    <w:rsid w:val="00171091"/>
    <w:rsid w:val="00194C32"/>
    <w:rsid w:val="001A5B5B"/>
    <w:rsid w:val="0021633E"/>
    <w:rsid w:val="00216F45"/>
    <w:rsid w:val="00241DF1"/>
    <w:rsid w:val="002D3F68"/>
    <w:rsid w:val="00310DB4"/>
    <w:rsid w:val="0039278E"/>
    <w:rsid w:val="003A5805"/>
    <w:rsid w:val="003C1F90"/>
    <w:rsid w:val="003E11B4"/>
    <w:rsid w:val="004004FE"/>
    <w:rsid w:val="0041224A"/>
    <w:rsid w:val="004467EA"/>
    <w:rsid w:val="004A3D6E"/>
    <w:rsid w:val="005369C7"/>
    <w:rsid w:val="005868A4"/>
    <w:rsid w:val="00597F12"/>
    <w:rsid w:val="005C1077"/>
    <w:rsid w:val="00605EAC"/>
    <w:rsid w:val="00645611"/>
    <w:rsid w:val="006643DE"/>
    <w:rsid w:val="006B3152"/>
    <w:rsid w:val="006B4650"/>
    <w:rsid w:val="006B70BB"/>
    <w:rsid w:val="006E3DB6"/>
    <w:rsid w:val="00756548"/>
    <w:rsid w:val="007B37D6"/>
    <w:rsid w:val="007C176C"/>
    <w:rsid w:val="007C5BC4"/>
    <w:rsid w:val="00804A0C"/>
    <w:rsid w:val="00832ABC"/>
    <w:rsid w:val="008622BC"/>
    <w:rsid w:val="008814E1"/>
    <w:rsid w:val="00883B5D"/>
    <w:rsid w:val="0088762F"/>
    <w:rsid w:val="008B529A"/>
    <w:rsid w:val="008B6CF8"/>
    <w:rsid w:val="00931AC6"/>
    <w:rsid w:val="00934D46"/>
    <w:rsid w:val="00964214"/>
    <w:rsid w:val="00977B9F"/>
    <w:rsid w:val="009D2BC0"/>
    <w:rsid w:val="009F089D"/>
    <w:rsid w:val="00A00A4A"/>
    <w:rsid w:val="00A03CDD"/>
    <w:rsid w:val="00A40A69"/>
    <w:rsid w:val="00A65671"/>
    <w:rsid w:val="00AB3084"/>
    <w:rsid w:val="00AB6633"/>
    <w:rsid w:val="00AC6708"/>
    <w:rsid w:val="00B151F7"/>
    <w:rsid w:val="00B755CC"/>
    <w:rsid w:val="00B76AF8"/>
    <w:rsid w:val="00BA04A5"/>
    <w:rsid w:val="00C13EBB"/>
    <w:rsid w:val="00C249AC"/>
    <w:rsid w:val="00C3175A"/>
    <w:rsid w:val="00C82A4D"/>
    <w:rsid w:val="00C84B33"/>
    <w:rsid w:val="00C85654"/>
    <w:rsid w:val="00CA4E97"/>
    <w:rsid w:val="00CC3CDC"/>
    <w:rsid w:val="00D144C3"/>
    <w:rsid w:val="00D17446"/>
    <w:rsid w:val="00D84EC1"/>
    <w:rsid w:val="00E56104"/>
    <w:rsid w:val="00E8797D"/>
    <w:rsid w:val="00EB5AAA"/>
    <w:rsid w:val="00EE7046"/>
    <w:rsid w:val="00F0456B"/>
    <w:rsid w:val="00F519DF"/>
    <w:rsid w:val="00F5220C"/>
    <w:rsid w:val="00FA7083"/>
    <w:rsid w:val="054B0577"/>
    <w:rsid w:val="088B18F0"/>
    <w:rsid w:val="089766F0"/>
    <w:rsid w:val="11CD59EB"/>
    <w:rsid w:val="11FC2025"/>
    <w:rsid w:val="140F7C42"/>
    <w:rsid w:val="180C069F"/>
    <w:rsid w:val="188704E6"/>
    <w:rsid w:val="18BA5282"/>
    <w:rsid w:val="1AD104B2"/>
    <w:rsid w:val="1BBF432C"/>
    <w:rsid w:val="1FD5667E"/>
    <w:rsid w:val="23633706"/>
    <w:rsid w:val="2C31481C"/>
    <w:rsid w:val="342718E4"/>
    <w:rsid w:val="48D960FB"/>
    <w:rsid w:val="4D575D9D"/>
    <w:rsid w:val="4FB32D01"/>
    <w:rsid w:val="50307780"/>
    <w:rsid w:val="511149AE"/>
    <w:rsid w:val="51372CCF"/>
    <w:rsid w:val="54EF5C8C"/>
    <w:rsid w:val="585B364B"/>
    <w:rsid w:val="592F6D35"/>
    <w:rsid w:val="5EF82DEB"/>
    <w:rsid w:val="65EA439F"/>
    <w:rsid w:val="6725436F"/>
    <w:rsid w:val="6C1B3F8D"/>
    <w:rsid w:val="6F295DA1"/>
    <w:rsid w:val="73317C62"/>
    <w:rsid w:val="738A4C07"/>
    <w:rsid w:val="73917A97"/>
    <w:rsid w:val="752C3672"/>
    <w:rsid w:val="7C19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line="360" w:lineRule="auto"/>
      <w:jc w:val="center"/>
      <w:outlineLvl w:val="0"/>
    </w:pPr>
    <w:rPr>
      <w:rFonts w:ascii="Times New Roman" w:hAnsi="Times New Roman" w:eastAsia="宋体" w:cs="Times New Roman"/>
      <w:b/>
      <w:bCs/>
      <w:kern w:val="44"/>
      <w:sz w:val="36"/>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标题 1 Char"/>
    <w:basedOn w:val="6"/>
    <w:link w:val="2"/>
    <w:qFormat/>
    <w:uiPriority w:val="9"/>
    <w:rPr>
      <w:rFonts w:ascii="Times New Roman" w:hAnsi="Times New Roman" w:eastAsia="宋体" w:cs="Times New Roman"/>
      <w:b/>
      <w:bCs/>
      <w:kern w:val="44"/>
      <w:sz w:val="36"/>
      <w:szCs w:val="44"/>
    </w:rPr>
  </w:style>
  <w:style w:type="character" w:customStyle="1" w:styleId="11">
    <w:name w:val="font4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2650</Words>
  <Characters>15105</Characters>
  <Lines>125</Lines>
  <Paragraphs>35</Paragraphs>
  <TotalTime>8</TotalTime>
  <ScaleCrop>false</ScaleCrop>
  <LinksUpToDate>false</LinksUpToDate>
  <CharactersWithSpaces>17720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2022-01-20T01:29:00Z</dcterms:created>
  <dc:creator>何铮</dc:creator>
  <cp:lastModifiedBy>何铮</cp:lastModifiedBy>
  <cp:lastPrinted>2022-01-21T02:55:00Z</cp:lastPrinted>
  <dcterms:modified xsi:type="dcterms:W3CDTF">2022-01-26T08:53:33Z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