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0"/>
        </w:tabs>
        <w:spacing w:after="0" w:line="680" w:lineRule="exact"/>
        <w:ind w:left="-85"/>
        <w:jc w:val="center"/>
        <w:rPr>
          <w:rFonts w:ascii="方正小标宋简体" w:eastAsia="方正小标宋简体"/>
          <w:spacing w:val="-26"/>
          <w:sz w:val="44"/>
          <w:szCs w:val="44"/>
        </w:rPr>
      </w:pPr>
      <w:r>
        <w:rPr>
          <w:rFonts w:hint="eastAsia" w:ascii="方正小标宋简体" w:eastAsia="方正小标宋简体"/>
          <w:sz w:val="44"/>
          <w:szCs w:val="44"/>
          <w:lang w:eastAsia="zh-CN"/>
        </w:rPr>
        <w:t>北京市西城区人民政府广安门内街道办事处</w:t>
      </w:r>
      <w:r>
        <w:rPr>
          <w:rFonts w:hint="eastAsia" w:ascii="方正小标宋简体" w:eastAsia="方正小标宋简体"/>
          <w:sz w:val="44"/>
          <w:szCs w:val="44"/>
        </w:rPr>
        <w:t>2021年工作总结及2022年工作思路</w:t>
      </w:r>
    </w:p>
    <w:p>
      <w:pPr>
        <w:spacing w:line="560" w:lineRule="exact"/>
        <w:jc w:val="center"/>
      </w:pPr>
    </w:p>
    <w:p>
      <w:pPr>
        <w:spacing w:line="560" w:lineRule="exact"/>
        <w:jc w:val="cente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pacing w:val="-4"/>
          <w:sz w:val="32"/>
          <w:szCs w:val="32"/>
        </w:rPr>
        <w:t>202</w:t>
      </w:r>
      <w:r>
        <w:rPr>
          <w:rFonts w:hint="eastAsia" w:ascii="仿宋_GB2312" w:hAnsi="仿宋_GB2312" w:eastAsia="仿宋_GB2312" w:cs="仿宋_GB2312"/>
          <w:color w:val="auto"/>
          <w:spacing w:val="-4"/>
          <w:sz w:val="32"/>
          <w:szCs w:val="32"/>
          <w:lang w:val="en-US" w:eastAsia="zh-CN"/>
        </w:rPr>
        <w:t>1</w:t>
      </w:r>
      <w:r>
        <w:rPr>
          <w:rFonts w:hint="eastAsia" w:ascii="仿宋_GB2312" w:hAnsi="仿宋_GB2312" w:eastAsia="仿宋_GB2312" w:cs="仿宋_GB2312"/>
          <w:color w:val="auto"/>
          <w:spacing w:val="-4"/>
          <w:sz w:val="32"/>
          <w:szCs w:val="32"/>
        </w:rPr>
        <w:t>年，广内街道坚持以习近平新时代中国特色社会主义思想为指导，</w:t>
      </w:r>
      <w:r>
        <w:rPr>
          <w:rFonts w:hint="eastAsia" w:ascii="仿宋_GB2312" w:hAnsi="仿宋_GB2312" w:eastAsia="仿宋_GB2312" w:cs="仿宋_GB2312"/>
          <w:color w:val="auto"/>
          <w:spacing w:val="-4"/>
          <w:sz w:val="32"/>
          <w:szCs w:val="32"/>
          <w:lang w:eastAsia="zh-CN"/>
        </w:rPr>
        <w:t>坚持全面从严治党和加强党的政治建设，圆满完成重大政治活动服务保障，在抓好常态化疫情防控的基础上，完成年度各项重点工作任务，扎实开展党史学习教育,深入推进“我为群众办实事”实践活动，环境整治有了新突破，社会建设进行了新探索，</w:t>
      </w:r>
      <w:r>
        <w:rPr>
          <w:rFonts w:hint="eastAsia" w:ascii="仿宋_GB2312" w:hAnsi="仿宋_GB2312" w:eastAsia="仿宋_GB2312" w:cs="仿宋_GB2312"/>
          <w:color w:val="auto"/>
          <w:spacing w:val="-4"/>
          <w:sz w:val="32"/>
          <w:szCs w:val="32"/>
          <w:highlight w:val="none"/>
          <w:lang w:eastAsia="zh-CN"/>
        </w:rPr>
        <w:t>民生保障再上新台阶</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z w:val="32"/>
          <w:szCs w:val="32"/>
          <w:lang w:val="en-US" w:eastAsia="zh-CN"/>
        </w:rPr>
        <w:t>广内街道工委被评为西城区先进基层党组织,街道</w:t>
      </w:r>
      <w:r>
        <w:rPr>
          <w:rFonts w:hint="eastAsia" w:ascii="仿宋_GB2312" w:hAnsi="仿宋_GB2312" w:eastAsia="仿宋_GB2312" w:cs="仿宋_GB2312"/>
          <w:color w:val="auto"/>
          <w:sz w:val="32"/>
          <w:szCs w:val="32"/>
          <w:highlight w:val="none"/>
          <w:lang w:val="en-US" w:eastAsia="zh-CN"/>
        </w:rPr>
        <w:t>成功创建首批北京市卫生街道，</w:t>
      </w:r>
      <w:r>
        <w:rPr>
          <w:rFonts w:hint="eastAsia" w:ascii="仿宋_GB2312" w:hAnsi="仿宋_GB2312" w:eastAsia="仿宋_GB2312" w:cs="仿宋_GB2312"/>
          <w:color w:val="auto"/>
          <w:sz w:val="32"/>
          <w:szCs w:val="32"/>
          <w:lang w:val="en-US" w:eastAsia="zh-CN"/>
        </w:rPr>
        <w:t>温馨家园被评为北京市残疾人之家，核桃园社区被评为全国示范老年友好型社区，</w:t>
      </w:r>
      <w:r>
        <w:rPr>
          <w:rFonts w:hint="eastAsia" w:ascii="仿宋_GB2312" w:hAnsi="仿宋_GB2312" w:eastAsia="仿宋_GB2312" w:cs="仿宋_GB2312"/>
          <w:kern w:val="2"/>
          <w:sz w:val="32"/>
          <w:szCs w:val="32"/>
          <w:lang w:val="en-US" w:eastAsia="zh-CN" w:bidi="ar-SA"/>
        </w:rPr>
        <w:t>槐南社区被评为北京市全民健康生活方式行动健康社区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一、2021年工作情况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Fonts w:hint="eastAsia" w:ascii="楷体_GB2312" w:hAnsi="楷体_GB2312" w:eastAsia="楷体_GB2312" w:cs="楷体_GB2312"/>
          <w:color w:val="auto"/>
          <w:spacing w:val="-4"/>
          <w:sz w:val="32"/>
          <w:szCs w:val="32"/>
          <w:lang w:eastAsia="zh-CN"/>
        </w:rPr>
      </w:pPr>
      <w:r>
        <w:rPr>
          <w:rFonts w:hint="eastAsia" w:ascii="楷体_GB2312" w:hAnsi="楷体_GB2312" w:eastAsia="楷体_GB2312" w:cs="楷体_GB2312"/>
          <w:color w:val="auto"/>
          <w:spacing w:val="-4"/>
          <w:sz w:val="32"/>
          <w:szCs w:val="32"/>
          <w:lang w:eastAsia="zh-CN"/>
        </w:rPr>
        <w:t>（一）坚持和加强党的全面领导，压紧压实管党治党政治责任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val="0"/>
          <w:bCs w:val="0"/>
          <w:color w:val="auto"/>
          <w:spacing w:val="-4"/>
          <w:sz w:val="32"/>
          <w:szCs w:val="32"/>
          <w:lang w:eastAsia="zh-CN"/>
        </w:rPr>
      </w:pPr>
      <w:r>
        <w:rPr>
          <w:rFonts w:hint="eastAsia" w:ascii="仿宋_GB2312" w:hAnsi="仿宋_GB2312" w:eastAsia="仿宋_GB2312" w:cs="仿宋_GB2312"/>
          <w:b w:val="0"/>
          <w:bCs w:val="0"/>
          <w:color w:val="auto"/>
          <w:spacing w:val="-4"/>
          <w:sz w:val="32"/>
          <w:szCs w:val="32"/>
          <w:lang w:eastAsia="zh-CN"/>
        </w:rPr>
        <w:t>始终把政治建设贯穿街道各项工作全过程、各方面。严格遵循和执行党（工）委会议事规则，坚持民主集中制，认真落实“三重一大”集体决策，班子成员集体研究、分析研判街道全面从严治党、意识形态和党风廉政建设形势。</w:t>
      </w:r>
      <w:r>
        <w:rPr>
          <w:rFonts w:hint="eastAsia" w:ascii="仿宋_GB2312" w:eastAsia="仿宋_GB2312" w:cs="仿宋_GB2312"/>
          <w:b w:val="0"/>
          <w:bCs w:val="0"/>
          <w:color w:val="auto"/>
          <w:kern w:val="0"/>
          <w:sz w:val="32"/>
          <w:szCs w:val="32"/>
          <w:lang w:eastAsia="zh-CN"/>
        </w:rPr>
        <w:t>落实意识形态工作责任制</w:t>
      </w:r>
      <w:r>
        <w:rPr>
          <w:rFonts w:hint="eastAsia" w:cs="仿宋_GB2312"/>
          <w:b w:val="0"/>
          <w:bCs w:val="0"/>
          <w:color w:val="auto"/>
          <w:kern w:val="0"/>
          <w:sz w:val="32"/>
          <w:szCs w:val="32"/>
          <w:lang w:eastAsia="zh-CN"/>
        </w:rPr>
        <w:t>。</w:t>
      </w:r>
      <w:r>
        <w:rPr>
          <w:rFonts w:hint="eastAsia" w:ascii="仿宋_GB2312" w:eastAsia="仿宋_GB2312"/>
          <w:b w:val="0"/>
          <w:bCs w:val="0"/>
          <w:color w:val="auto"/>
          <w:sz w:val="32"/>
          <w:szCs w:val="32"/>
          <w:lang w:val="en-US" w:eastAsia="zh-CN"/>
        </w:rPr>
        <w:t>坚持用好工委会会前学习和理论中心组学习机制，</w:t>
      </w:r>
      <w:r>
        <w:rPr>
          <w:rFonts w:hint="eastAsia" w:ascii="仿宋_GB2312" w:eastAsia="仿宋_GB2312"/>
          <w:b w:val="0"/>
          <w:bCs w:val="0"/>
          <w:color w:val="auto"/>
          <w:sz w:val="32"/>
          <w:szCs w:val="32"/>
          <w:highlight w:val="none"/>
          <w:lang w:val="en-US" w:eastAsia="zh-CN"/>
        </w:rPr>
        <w:t>开展集中学习36次。</w:t>
      </w:r>
      <w:r>
        <w:rPr>
          <w:rFonts w:hint="eastAsia" w:ascii="仿宋_GB2312" w:hAnsi="仿宋_GB2312" w:eastAsia="仿宋_GB2312" w:cs="仿宋_GB2312"/>
          <w:b w:val="0"/>
          <w:bCs w:val="0"/>
          <w:color w:val="auto"/>
          <w:spacing w:val="-4"/>
          <w:sz w:val="32"/>
          <w:szCs w:val="32"/>
          <w:lang w:eastAsia="zh-CN"/>
        </w:rPr>
        <w:t>严肃党内政治生活，</w:t>
      </w:r>
      <w:r>
        <w:rPr>
          <w:rFonts w:hint="eastAsia" w:ascii="仿宋_GB2312" w:eastAsia="仿宋_GB2312"/>
          <w:b w:val="0"/>
          <w:bCs w:val="0"/>
          <w:color w:val="auto"/>
          <w:sz w:val="32"/>
          <w:szCs w:val="32"/>
          <w:lang w:val="en-US" w:eastAsia="zh-CN"/>
        </w:rPr>
        <w:t>严格落实领导干部双重组织生活会制度。对照管党治党政治责任负面清单开展自查自纠,修订和完善街道内控制度，制定《广内街道工委党务公开目录》，逐步形成规范化、程序化、制度化的党务公开机制。</w:t>
      </w:r>
      <w:r>
        <w:rPr>
          <w:rFonts w:hint="eastAsia" w:ascii="仿宋_GB2312" w:hAnsi="仿宋_GB2312" w:eastAsia="仿宋_GB2312" w:cs="仿宋_GB2312"/>
          <w:b w:val="0"/>
          <w:bCs w:val="0"/>
          <w:color w:val="auto"/>
          <w:spacing w:val="-4"/>
          <w:sz w:val="32"/>
          <w:szCs w:val="32"/>
          <w:lang w:eastAsia="zh-CN"/>
        </w:rPr>
        <w:t>重视并落实市委区委巡视巡察问题整改。配合十二届区委第十九轮巡察工作。</w:t>
      </w:r>
      <w:r>
        <w:rPr>
          <w:rFonts w:hint="eastAsia" w:ascii="仿宋_GB2312" w:eastAsia="仿宋_GB2312"/>
          <w:b w:val="0"/>
          <w:bCs w:val="0"/>
          <w:color w:val="auto"/>
          <w:sz w:val="32"/>
          <w:szCs w:val="32"/>
          <w:lang w:val="en-US" w:eastAsia="zh-CN"/>
        </w:rPr>
        <w:t>强化党内监督，</w:t>
      </w:r>
      <w:r>
        <w:rPr>
          <w:rFonts w:hint="eastAsia" w:ascii="仿宋_GB2312" w:hAnsi="仿宋_GB2312" w:eastAsia="仿宋_GB2312" w:cs="仿宋_GB2312"/>
          <w:b w:val="0"/>
          <w:bCs w:val="0"/>
          <w:color w:val="auto"/>
          <w:spacing w:val="-4"/>
          <w:sz w:val="32"/>
          <w:szCs w:val="32"/>
          <w:lang w:eastAsia="zh-CN"/>
        </w:rPr>
        <w:t>严格落实监督和廉政谈话全覆盖，加大重点任务监督检查力度。常态化落实中央八项规定精神，召开警示教育活动</w:t>
      </w:r>
      <w:r>
        <w:rPr>
          <w:rFonts w:hint="eastAsia" w:ascii="仿宋_GB2312" w:hAnsi="仿宋_GB2312" w:eastAsia="仿宋_GB2312" w:cs="仿宋_GB2312"/>
          <w:b w:val="0"/>
          <w:bCs w:val="0"/>
          <w:color w:val="auto"/>
          <w:spacing w:val="-4"/>
          <w:sz w:val="32"/>
          <w:szCs w:val="32"/>
          <w:lang w:val="en-US" w:eastAsia="zh-CN"/>
        </w:rPr>
        <w:t>10</w:t>
      </w:r>
      <w:r>
        <w:rPr>
          <w:rFonts w:hint="eastAsia" w:ascii="仿宋_GB2312" w:hAnsi="仿宋_GB2312" w:eastAsia="仿宋_GB2312" w:cs="仿宋_GB2312"/>
          <w:b w:val="0"/>
          <w:bCs w:val="0"/>
          <w:color w:val="auto"/>
          <w:spacing w:val="-4"/>
          <w:sz w:val="32"/>
          <w:szCs w:val="32"/>
          <w:lang w:eastAsia="zh-CN"/>
        </w:rPr>
        <w:t>次，风清气正的政治生态持续巩固。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val="0"/>
          <w:bCs w:val="0"/>
          <w:color w:val="auto"/>
          <w:sz w:val="32"/>
          <w:szCs w:val="32"/>
          <w:lang w:eastAsia="zh-CN"/>
        </w:rPr>
      </w:pPr>
      <w:r>
        <w:rPr>
          <w:rFonts w:hint="eastAsia" w:ascii="仿宋_GB2312" w:hAnsi="仿宋_GB2312" w:eastAsia="仿宋_GB2312" w:cs="仿宋_GB2312"/>
          <w:b w:val="0"/>
          <w:bCs w:val="0"/>
          <w:color w:val="auto"/>
          <w:spacing w:val="-4"/>
          <w:sz w:val="32"/>
          <w:szCs w:val="32"/>
          <w:lang w:eastAsia="zh-CN"/>
        </w:rPr>
        <w:t>切实发挥好党组织的领导和把关作用。层层压紧压实管党治党责任，项目化落实全面从严治党主体责任清单和党建工作责任各项指标任务，将党风廉政建设主体责任纳入年底述职评议和绩效考核。</w:t>
      </w:r>
      <w:r>
        <w:rPr>
          <w:rFonts w:hint="eastAsia" w:ascii="仿宋_GB2312" w:eastAsia="仿宋_GB2312"/>
          <w:b w:val="0"/>
          <w:bCs w:val="0"/>
          <w:color w:val="auto"/>
          <w:sz w:val="32"/>
          <w:szCs w:val="32"/>
        </w:rPr>
        <w:t>认真落实领导干部个人有关事项报告制度</w:t>
      </w:r>
      <w:r>
        <w:rPr>
          <w:rFonts w:hint="eastAsia" w:ascii="仿宋_GB2312" w:eastAsia="仿宋_GB2312"/>
          <w:b w:val="0"/>
          <w:bCs w:val="0"/>
          <w:color w:val="auto"/>
          <w:sz w:val="32"/>
          <w:szCs w:val="32"/>
          <w:lang w:eastAsia="zh-CN"/>
        </w:rPr>
        <w:t>。</w:t>
      </w:r>
      <w:r>
        <w:rPr>
          <w:rFonts w:hint="eastAsia" w:ascii="仿宋_GB2312" w:eastAsia="仿宋_GB2312" w:cs="仿宋_GB2312"/>
          <w:b w:val="0"/>
          <w:bCs w:val="0"/>
          <w:color w:val="auto"/>
          <w:sz w:val="32"/>
          <w:szCs w:val="32"/>
          <w:highlight w:val="none"/>
          <w:lang w:val="en-US" w:eastAsia="zh-CN"/>
        </w:rPr>
        <w:t>坚持党管干部原则和新时期好干部标准，在评优立功受奖晋升提职时，向担当有为的干部倾斜，职级晋升和职务晋升27人</w:t>
      </w:r>
      <w:r>
        <w:rPr>
          <w:rFonts w:hint="eastAsia" w:ascii="仿宋_GB2312" w:eastAsia="仿宋_GB2312"/>
          <w:b w:val="0"/>
          <w:bCs w:val="0"/>
          <w:color w:val="auto"/>
          <w:sz w:val="32"/>
          <w:szCs w:val="32"/>
          <w:lang w:eastAsia="zh-CN"/>
        </w:rPr>
        <w:t>。把好换届人选“入口关”，规范提名推荐程序和考察审查工作，圆满完成2021年社区“两委”换届和党支部换届、社区妇联换届、18个社区联合工会换届和广内地区分会第十七届人大换届选举工作。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深化党员干部联系服务群众机制。领导班子成员落实党支部工作联系点制度，坚持并强化处级领导包社区机制，聚焦居民诉求和群众关切，设立充电设施安装、民用液化气整治、便民设施安装等49个党组织服务群众项目，围绕社区楼门自治、垃圾分类、社区环境等设立38个公益金项目，切实落实为民办实事理念。广内街道心理服务中心投入运营，开展辅导活动13场，受益500余人次。探索社会工作服务中心建设。搭建“好商量”议事厅，建实1741人的楼门院长队伍，夯实社区自治基础。开展西城区邻里文化节和第十二届空竹文化节，构筑良好社邻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（二）践行初心使命，推动党史学习教育成果转化为发展动力和工作成效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成立广内街道党史学习教育领导小组，制定党史学习教育方案，按照“学、走、讲、展、办、强”六字诀多举措深入推动党史学习教育出新出彩，组织系列活动30余次。召开“七一”表彰大会，树立榜样。广内街道作为西城区街道典型代表，接待20余家中央、市属媒体集体采访，宣传推广街道践行“学党史 悟思想 办实事 开新局”的良好工作举措。</w:t>
      </w:r>
      <w:r>
        <w:rPr>
          <w:rFonts w:hint="eastAsia" w:ascii="仿宋_GB2312" w:eastAsia="仿宋_GB2312" w:cs="仿宋_GB2312"/>
          <w:b w:val="0"/>
          <w:bCs w:val="0"/>
          <w:color w:val="auto"/>
          <w:sz w:val="32"/>
          <w:szCs w:val="32"/>
          <w:lang w:eastAsia="zh-CN"/>
        </w:rPr>
        <w:t>代表西城区接受新华社在全国范围</w:t>
      </w:r>
      <w:r>
        <w:rPr>
          <w:rFonts w:hint="eastAsia" w:ascii="仿宋_GB2312" w:eastAsia="仿宋_GB2312" w:cs="仿宋_GB2312"/>
          <w:b w:val="0"/>
          <w:bCs w:val="0"/>
          <w:color w:val="auto"/>
          <w:sz w:val="32"/>
          <w:szCs w:val="32"/>
          <w:lang w:val="en-US" w:eastAsia="zh-CN"/>
        </w:rPr>
        <w:t>落实习近平总书记七一讲话精神做好基层社会治理主题采访</w:t>
      </w:r>
      <w:r>
        <w:rPr>
          <w:rFonts w:hint="eastAsia"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将“红墙先锋在社区 我为群众办实事”作为党史学习教育不忘初心、牢记使命的工作载体，街道在继续办好为民办实事的基础上，形成装设施缓解充电难、换电梯解决出行难等13项重点民生项目，且均已完成。围绕街道重点中心工作和群众关切，建立机关党支部与社区党组织结对共建解难题机制，帮助社区推动解决难题27个，走好新时期群众路线，使党史教育取得实实在在的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以党史学习教育促“吹哨报到”“接诉即办”见实效。认真贯彻《北京市接诉即办工作条例》这一为民服务法，截至11月18日，街道受理市民热线5708件，结案率始终保证100％。坚持党政主要领导每周两次定期会商，落实</w:t>
      </w:r>
      <w:r>
        <w:rPr>
          <w:rFonts w:hint="eastAsia" w:ascii="仿宋_GB2312" w:eastAsia="仿宋_GB2312"/>
          <w:b w:val="0"/>
          <w:bCs w:val="0"/>
          <w:color w:val="auto"/>
          <w:sz w:val="32"/>
          <w:szCs w:val="32"/>
          <w:lang w:val="en-US" w:eastAsia="zh-CN"/>
        </w:rPr>
        <w:t>处级领导包片包案机制，推进案件处置，解决重复诉求和疑难案件。完善双派发、</w:t>
      </w:r>
      <w:r>
        <w:rPr>
          <w:rFonts w:hint="eastAsia" w:ascii="仿宋_GB2312" w:eastAsia="仿宋_GB2312" w:cs="仿宋_GB2312"/>
          <w:b w:val="0"/>
          <w:bCs w:val="0"/>
          <w:color w:val="auto"/>
          <w:sz w:val="32"/>
          <w:szCs w:val="32"/>
          <w:highlight w:val="none"/>
          <w:lang w:eastAsia="zh-CN"/>
        </w:rPr>
        <w:t>双反馈、</w:t>
      </w:r>
      <w:r>
        <w:rPr>
          <w:rFonts w:hint="eastAsia" w:ascii="仿宋_GB2312" w:eastAsia="仿宋_GB2312"/>
          <w:b w:val="0"/>
          <w:bCs w:val="0"/>
          <w:color w:val="auto"/>
          <w:sz w:val="32"/>
          <w:szCs w:val="32"/>
          <w:lang w:val="en-US" w:eastAsia="zh-CN"/>
        </w:rPr>
        <w:t>提级办理、挂案督办、“三刻钟”响应等办理机制，制定街道接诉即办考核细则。开展“每月一题”典型案例分享，加强案件分析研判。</w:t>
      </w:r>
      <w:r>
        <w:rPr>
          <w:rFonts w:hint="eastAsia" w:ascii="仿宋_GB2312" w:eastAsia="仿宋_GB2312"/>
          <w:b w:val="0"/>
          <w:bCs w:val="0"/>
          <w:color w:val="auto"/>
          <w:sz w:val="32"/>
          <w:szCs w:val="32"/>
          <w:highlight w:val="none"/>
          <w:lang w:val="en-US" w:eastAsia="zh-CN"/>
        </w:rPr>
        <w:t>持续深化“吹哨报到”工作机制，</w:t>
      </w:r>
      <w:r>
        <w:rPr>
          <w:rFonts w:hint="eastAsia" w:ascii="仿宋_GB2312" w:eastAsia="仿宋_GB2312"/>
          <w:b w:val="0"/>
          <w:bCs w:val="0"/>
          <w:color w:val="auto"/>
          <w:sz w:val="32"/>
          <w:szCs w:val="32"/>
          <w:lang w:val="en-US" w:eastAsia="zh-CN"/>
        </w:rPr>
        <w:t>制定46项街道重点工作和任务清单，</w:t>
      </w:r>
      <w:r>
        <w:rPr>
          <w:rFonts w:hint="eastAsia" w:ascii="仿宋_GB2312" w:eastAsia="仿宋_GB2312"/>
          <w:b w:val="0"/>
          <w:bCs w:val="0"/>
          <w:color w:val="auto"/>
          <w:sz w:val="32"/>
          <w:szCs w:val="32"/>
          <w:highlight w:val="none"/>
          <w:lang w:val="en-US" w:eastAsia="zh-CN"/>
        </w:rPr>
        <w:t>用好“吹哨报到”快治群顺利解决用水用电、房屋修缮等问题千余件。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扛牢疫情防控政治责任和主体责任，慎终如始做好常态化疫情防控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街道疫情防控专班坚决落实市、区防疫领导小组要求，及时召开会议研究、部署防疫措施，常态化坚持核酸检测机制、疫苗接种机制、社区防控机制，主要领导亲自调度，建立专班会商、预案演练、现场统筹协调、舆情应对、宣传发动、闭环管理等工作机制，搭建防疫组织体系，提高街道疫情防控处置和应急能力。统筹街道机关、社区力量，处级领导包社区，机关干部到社区、到站点，冲锋在前，连续作战，实现“应排尽排”“应接尽接”</w:t>
      </w:r>
      <w:r>
        <w:rPr>
          <w:rFonts w:hint="eastAsia" w:ascii="仿宋_GB2312" w:hAnsi="仿宋_GB2312" w:eastAsia="仿宋_GB2312" w:cs="仿宋_GB2312"/>
          <w:b w:val="0"/>
          <w:bCs w:val="0"/>
          <w:color w:val="auto"/>
          <w:sz w:val="32"/>
          <w:szCs w:val="32"/>
          <w:highlight w:val="none"/>
          <w:lang w:val="en-US" w:eastAsia="zh-CN"/>
        </w:rPr>
        <w:t>“应检尽检”，全面完成各类疫情防控任务。地区18岁以上人口接种率为88.</w:t>
      </w:r>
      <w:r>
        <w:rPr>
          <w:rFonts w:hint="eastAsia" w:hAnsi="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%，其中60岁以上人口接种率为87.</w:t>
      </w:r>
      <w:r>
        <w:rPr>
          <w:rFonts w:hint="eastAsia" w:hAnsi="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%，坚决维护好核心区防疫安全。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（四）深化党建引领，基层治理成效更深入更扎实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default" w:ascii="仿宋_GB2312" w:eastAsia="仿宋_GB2312"/>
          <w:b w:val="0"/>
          <w:bCs w:val="0"/>
          <w:color w:val="auto"/>
          <w:sz w:val="32"/>
          <w:szCs w:val="32"/>
          <w:lang w:val="en-US" w:eastAsia="zh-CN"/>
        </w:rPr>
        <w:t>坚持</w:t>
      </w:r>
      <w:r>
        <w:rPr>
          <w:rFonts w:hint="eastAsia" w:ascii="仿宋_GB2312" w:eastAsia="仿宋_GB2312"/>
          <w:b w:val="0"/>
          <w:bCs w:val="0"/>
          <w:color w:val="auto"/>
          <w:sz w:val="32"/>
          <w:szCs w:val="32"/>
          <w:lang w:val="en-US" w:eastAsia="zh-CN"/>
        </w:rPr>
        <w:t>“</w:t>
      </w:r>
      <w:r>
        <w:rPr>
          <w:rFonts w:hint="default" w:ascii="仿宋_GB2312" w:eastAsia="仿宋_GB2312"/>
          <w:b w:val="0"/>
          <w:bCs w:val="0"/>
          <w:color w:val="auto"/>
          <w:sz w:val="32"/>
          <w:szCs w:val="32"/>
          <w:lang w:val="en-US" w:eastAsia="zh-CN"/>
        </w:rPr>
        <w:t>纵向同轴、横向同心</w:t>
      </w:r>
      <w:r>
        <w:rPr>
          <w:rFonts w:hint="eastAsia" w:ascii="仿宋_GB2312" w:eastAsia="仿宋_GB2312"/>
          <w:b w:val="0"/>
          <w:bCs w:val="0"/>
          <w:color w:val="auto"/>
          <w:sz w:val="32"/>
          <w:szCs w:val="32"/>
          <w:lang w:val="en-US" w:eastAsia="zh-CN"/>
        </w:rPr>
        <w:t>”</w:t>
      </w:r>
      <w:r>
        <w:rPr>
          <w:rFonts w:hint="default" w:ascii="仿宋_GB2312" w:eastAsia="仿宋_GB2312"/>
          <w:b w:val="0"/>
          <w:bCs w:val="0"/>
          <w:color w:val="auto"/>
          <w:sz w:val="32"/>
          <w:szCs w:val="32"/>
          <w:lang w:val="en-US" w:eastAsia="zh-CN"/>
        </w:rPr>
        <w:t>组织力</w:t>
      </w:r>
      <w:r>
        <w:rPr>
          <w:rFonts w:hint="eastAsia" w:ascii="仿宋_GB2312" w:eastAsia="仿宋_GB2312"/>
          <w:b w:val="0"/>
          <w:bCs w:val="0"/>
          <w:color w:val="auto"/>
          <w:sz w:val="32"/>
          <w:szCs w:val="32"/>
          <w:lang w:val="en-US" w:eastAsia="zh-CN"/>
        </w:rPr>
        <w:t>动力结构</w:t>
      </w:r>
      <w:r>
        <w:rPr>
          <w:rFonts w:hint="default" w:ascii="仿宋_GB2312" w:eastAsia="仿宋_GB2312"/>
          <w:b w:val="0"/>
          <w:bCs w:val="0"/>
          <w:color w:val="auto"/>
          <w:sz w:val="32"/>
          <w:szCs w:val="32"/>
          <w:lang w:val="en-US" w:eastAsia="zh-CN"/>
        </w:rPr>
        <w:t>。</w:t>
      </w:r>
      <w:r>
        <w:rPr>
          <w:rFonts w:hint="eastAsia" w:ascii="仿宋_GB2312" w:eastAsia="仿宋_GB2312"/>
          <w:b w:val="0"/>
          <w:bCs w:val="0"/>
          <w:color w:val="auto"/>
          <w:sz w:val="32"/>
          <w:szCs w:val="32"/>
          <w:lang w:val="en-US" w:eastAsia="zh-CN"/>
        </w:rPr>
        <w:t>制定《广内街道社区工作制度汇编》，规范社区“两委一站”工作。</w:t>
      </w:r>
      <w:r>
        <w:rPr>
          <w:rFonts w:hint="eastAsia" w:ascii="仿宋_GB2312" w:eastAsia="仿宋_GB2312"/>
          <w:b w:val="0"/>
          <w:bCs w:val="0"/>
          <w:color w:val="auto"/>
          <w:sz w:val="32"/>
          <w:szCs w:val="32"/>
          <w:lang w:eastAsia="zh-CN"/>
        </w:rPr>
        <w:t>制定36项街道基层党建重点任务清单、21项“两新”组织强党建促发展措施清单，依托街道党群服务中心建立新就业群体综合行服务平台。深化楼门院党小组建设，在长椿街社区、核桃园社区开展楼门院党小组示范点创建工作。在物管会、广内街道调解中心建立临时党支部，扎实推进基层党组织在专项工作发挥作用。抓实“双报到”工作，做实街居两级党建协调委员会，凝聚辖区党组织和党员的政治力量，1973名区街干部、在职党员，369个楼门院党小组，25个“两新”党支部积极挖掘自身资源优势，组建各类专业志愿服务团队为地区群众提供服务。实施“红墙同心”社会公共责任体系项目，形成319条清单，推出“建强‘硬’支部”等10个项目。加强社区党员教育管理和后备队伍培养，发展党员20名，优化社区党委书记阶梯培养链条和成长路径。</w:t>
      </w:r>
      <w:r>
        <w:rPr>
          <w:rFonts w:hint="eastAsia" w:ascii="仿宋_GB2312" w:eastAsia="仿宋_GB2312"/>
          <w:b w:val="0"/>
          <w:bCs w:val="0"/>
          <w:color w:val="auto"/>
          <w:sz w:val="32"/>
          <w:szCs w:val="32"/>
          <w:lang w:val="en-US" w:eastAsia="zh-CN"/>
        </w:rPr>
        <w:t>广安门北街20号院物管会、核挑园党群中心和服务站、广艺+市民文化中心入选全市基层干部教育培训现场教学点。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落实好核心区控规，紧紧抓住疏解北京非首都功能</w:t>
      </w:r>
      <w:r>
        <w:rPr>
          <w:rFonts w:hint="default" w:ascii="仿宋_GB2312" w:hAnsi="仿宋_GB2312" w:eastAsia="仿宋_GB2312" w:cs="仿宋_GB2312"/>
          <w:b w:val="0"/>
          <w:bCs w:val="0"/>
          <w:color w:val="auto"/>
          <w:sz w:val="32"/>
          <w:szCs w:val="32"/>
          <w:highlight w:val="none"/>
          <w:lang w:val="en-US" w:eastAsia="zh-CN"/>
        </w:rPr>
        <w:t>这个“牛鼻子”</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完成康乐里小学本部和北京小学分校周边的绿化改造。</w:t>
      </w:r>
      <w:r>
        <w:rPr>
          <w:rFonts w:hint="default" w:ascii="仿宋_GB2312" w:hAnsi="仿宋_GB2312" w:eastAsia="仿宋_GB2312" w:cs="仿宋_GB2312"/>
          <w:b w:val="0"/>
          <w:bCs w:val="0"/>
          <w:color w:val="auto"/>
          <w:sz w:val="32"/>
          <w:szCs w:val="32"/>
          <w:highlight w:val="none"/>
          <w:lang w:val="en-US" w:eastAsia="zh-CN"/>
        </w:rPr>
        <w:t>服务“双减”政策开展康乐里小学等校园周边交通环境整治。</w:t>
      </w:r>
      <w:r>
        <w:rPr>
          <w:rFonts w:hint="eastAsia" w:ascii="仿宋_GB2312" w:hAnsi="仿宋_GB2312" w:eastAsia="仿宋_GB2312" w:cs="仿宋_GB2312"/>
          <w:b w:val="0"/>
          <w:bCs w:val="0"/>
          <w:color w:val="auto"/>
          <w:sz w:val="32"/>
          <w:szCs w:val="32"/>
          <w:highlight w:val="none"/>
          <w:lang w:val="en-US" w:eastAsia="zh-CN"/>
        </w:rPr>
        <w:t>拆除违建385处共7440平米，严控新违，超额完成全年6000平米拆违任务。统筹推进三庙治理类社区拆</w:t>
      </w:r>
      <w:r>
        <w:rPr>
          <w:rFonts w:hint="default" w:ascii="仿宋_GB2312" w:hAnsi="仿宋_GB2312" w:eastAsia="仿宋_GB2312" w:cs="仿宋_GB2312"/>
          <w:b w:val="0"/>
          <w:bCs w:val="0"/>
          <w:color w:val="auto"/>
          <w:sz w:val="32"/>
          <w:szCs w:val="32"/>
          <w:highlight w:val="none"/>
          <w:lang w:val="en-US" w:eastAsia="zh-CN"/>
        </w:rPr>
        <w:t>违整治工作。清理群租、违规出租房屋</w:t>
      </w:r>
      <w:r>
        <w:rPr>
          <w:rFonts w:hint="eastAsia" w:ascii="仿宋_GB2312" w:hAnsi="仿宋_GB2312" w:eastAsia="仿宋_GB2312" w:cs="仿宋_GB2312"/>
          <w:b w:val="0"/>
          <w:bCs w:val="0"/>
          <w:color w:val="auto"/>
          <w:sz w:val="32"/>
          <w:szCs w:val="32"/>
          <w:highlight w:val="none"/>
          <w:lang w:val="en-US" w:eastAsia="zh-CN"/>
        </w:rPr>
        <w:t>27</w:t>
      </w:r>
      <w:r>
        <w:rPr>
          <w:rFonts w:hint="default" w:ascii="仿宋_GB2312" w:hAnsi="仿宋_GB2312" w:eastAsia="仿宋_GB2312" w:cs="仿宋_GB2312"/>
          <w:b w:val="0"/>
          <w:bCs w:val="0"/>
          <w:color w:val="auto"/>
          <w:sz w:val="32"/>
          <w:szCs w:val="32"/>
          <w:highlight w:val="none"/>
          <w:lang w:val="en-US" w:eastAsia="zh-CN"/>
        </w:rPr>
        <w:t>处，</w:t>
      </w:r>
      <w:r>
        <w:rPr>
          <w:rFonts w:hint="eastAsia" w:ascii="仿宋_GB2312" w:hAnsi="仿宋_GB2312" w:eastAsia="仿宋_GB2312" w:cs="仿宋_GB2312"/>
          <w:b w:val="0"/>
          <w:bCs w:val="0"/>
          <w:color w:val="auto"/>
          <w:sz w:val="32"/>
          <w:szCs w:val="32"/>
          <w:highlight w:val="none"/>
          <w:lang w:val="en-US" w:eastAsia="zh-CN"/>
        </w:rPr>
        <w:t>清退167人。落实“双街巷长”机制，有序促进文明城区创建。</w:t>
      </w:r>
      <w:r>
        <w:rPr>
          <w:rFonts w:hint="default" w:ascii="仿宋_GB2312" w:hAnsi="仿宋_GB2312" w:eastAsia="仿宋_GB2312" w:cs="仿宋_GB2312"/>
          <w:b w:val="0"/>
          <w:bCs w:val="0"/>
          <w:color w:val="auto"/>
          <w:sz w:val="32"/>
          <w:szCs w:val="32"/>
          <w:highlight w:val="none"/>
          <w:lang w:val="en-US" w:eastAsia="zh-CN"/>
        </w:rPr>
        <w:t>扎实推进背街小巷精细化整治提升，</w:t>
      </w:r>
      <w:r>
        <w:rPr>
          <w:rFonts w:hint="eastAsia" w:hAnsi="仿宋_GB2312" w:cs="仿宋_GB2312"/>
          <w:b w:val="0"/>
          <w:bCs w:val="0"/>
          <w:color w:val="auto"/>
          <w:sz w:val="32"/>
          <w:szCs w:val="32"/>
          <w:highlight w:val="none"/>
          <w:lang w:val="en-US" w:eastAsia="zh-CN"/>
        </w:rPr>
        <w:t>26</w:t>
      </w:r>
      <w:r>
        <w:rPr>
          <w:rFonts w:hint="default" w:ascii="仿宋_GB2312" w:hAnsi="仿宋_GB2312" w:eastAsia="仿宋_GB2312" w:cs="仿宋_GB2312"/>
          <w:b w:val="0"/>
          <w:bCs w:val="0"/>
          <w:color w:val="auto"/>
          <w:sz w:val="32"/>
          <w:szCs w:val="32"/>
          <w:highlight w:val="none"/>
          <w:lang w:val="en-US" w:eastAsia="zh-CN"/>
        </w:rPr>
        <w:t>条街巷通过市级达标验收。推进北线阁3号院等4处简易楼腾退。利用腾退空间打造广艺+市民文化中心，作为新时代文明实践基地，举办活动600余场，接待居民12万余人次，成为广内的新地标。空竹博物馆微更新项目入选北京市“建党百年百个小微空间”活动，获市级资金支持</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三庙社区花园荣获</w:t>
      </w:r>
      <w:r>
        <w:rPr>
          <w:rFonts w:hint="eastAsia" w:ascii="仿宋_GB2312" w:hAnsi="仿宋_GB2312" w:eastAsia="仿宋_GB2312" w:cs="仿宋_GB2312"/>
          <w:b w:val="0"/>
          <w:bCs w:val="0"/>
          <w:color w:val="auto"/>
          <w:sz w:val="32"/>
          <w:szCs w:val="32"/>
          <w:highlight w:val="none"/>
          <w:lang w:val="en-US" w:eastAsia="zh-CN"/>
        </w:rPr>
        <w:t>2021年</w:t>
      </w:r>
      <w:r>
        <w:rPr>
          <w:rFonts w:hint="default" w:ascii="仿宋_GB2312" w:hAnsi="仿宋_GB2312" w:eastAsia="仿宋_GB2312" w:cs="仿宋_GB2312"/>
          <w:b w:val="0"/>
          <w:bCs w:val="0"/>
          <w:color w:val="auto"/>
          <w:sz w:val="32"/>
          <w:szCs w:val="32"/>
          <w:highlight w:val="none"/>
          <w:lang w:val="en-US" w:eastAsia="zh-CN"/>
        </w:rPr>
        <w:t>亚太地区风景园林专业奖。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t>紧抓两个“关键小事”为居民办大事。垃圾分类工作再上新台阶</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推进基础设施建设，完成辖区</w:t>
      </w:r>
      <w:r>
        <w:rPr>
          <w:rFonts w:hint="eastAsia" w:ascii="仿宋_GB2312" w:hAnsi="仿宋_GB2312" w:eastAsia="仿宋_GB2312" w:cs="仿宋_GB2312"/>
          <w:b w:val="0"/>
          <w:bCs w:val="0"/>
          <w:color w:val="auto"/>
          <w:sz w:val="32"/>
          <w:szCs w:val="32"/>
          <w:highlight w:val="none"/>
          <w:lang w:val="en-US" w:eastAsia="zh-CN"/>
        </w:rPr>
        <w:t>160</w:t>
      </w:r>
      <w:r>
        <w:rPr>
          <w:rFonts w:hint="default" w:ascii="仿宋_GB2312" w:hAnsi="仿宋_GB2312" w:eastAsia="仿宋_GB2312" w:cs="仿宋_GB2312"/>
          <w:b w:val="0"/>
          <w:bCs w:val="0"/>
          <w:color w:val="auto"/>
          <w:sz w:val="32"/>
          <w:szCs w:val="32"/>
          <w:highlight w:val="none"/>
          <w:lang w:val="en-US" w:eastAsia="zh-CN"/>
        </w:rPr>
        <w:t>组固定桶站升级改造任务、18处生活垃圾分类驿站及16处大件、装修垃圾投放点建设任务，试点引入2处厨余垃圾就地处理设施，完成精细化计量系统项目建设及4处垃圾楼改造工作任务</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研究制定《广内街道桶外固废垃圾管理工作实施方案》及配套管理办法，针对大件垃圾、装修垃圾、堆物堆料三类“桶外垃圾”治理乱象加以管控</w:t>
      </w:r>
      <w:r>
        <w:rPr>
          <w:rFonts w:hint="eastAsia" w:ascii="仿宋_GB2312" w:hAnsi="仿宋_GB2312" w:eastAsia="仿宋_GB2312" w:cs="仿宋_GB2312"/>
          <w:b w:val="0"/>
          <w:bCs w:val="0"/>
          <w:color w:val="auto"/>
          <w:sz w:val="32"/>
          <w:szCs w:val="32"/>
          <w:highlight w:val="none"/>
          <w:lang w:val="en-US" w:eastAsia="zh-CN"/>
        </w:rPr>
        <w:t>；强化源头动员，开展宣传活动80余场。</w:t>
      </w:r>
      <w:r>
        <w:rPr>
          <w:rFonts w:hint="default" w:ascii="仿宋_GB2312" w:hAnsi="仿宋_GB2312" w:eastAsia="仿宋_GB2312" w:cs="仿宋_GB2312"/>
          <w:b w:val="0"/>
          <w:bCs w:val="0"/>
          <w:color w:val="auto"/>
          <w:sz w:val="32"/>
          <w:szCs w:val="32"/>
          <w:highlight w:val="none"/>
          <w:lang w:val="en-US" w:eastAsia="zh-CN"/>
        </w:rPr>
        <w:t>破解老旧小区物业管理难题</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组建</w:t>
      </w:r>
      <w:r>
        <w:rPr>
          <w:rFonts w:hint="eastAsia" w:ascii="仿宋_GB2312" w:hAnsi="仿宋_GB2312" w:eastAsia="仿宋_GB2312" w:cs="仿宋_GB2312"/>
          <w:b w:val="0"/>
          <w:bCs w:val="0"/>
          <w:color w:val="auto"/>
          <w:sz w:val="32"/>
          <w:szCs w:val="32"/>
          <w:highlight w:val="none"/>
          <w:lang w:val="en-US" w:eastAsia="zh-CN"/>
        </w:rPr>
        <w:t>55</w:t>
      </w:r>
      <w:r>
        <w:rPr>
          <w:rFonts w:hint="default" w:ascii="仿宋_GB2312" w:hAnsi="仿宋_GB2312" w:eastAsia="仿宋_GB2312" w:cs="仿宋_GB2312"/>
          <w:b w:val="0"/>
          <w:bCs w:val="0"/>
          <w:color w:val="auto"/>
          <w:sz w:val="32"/>
          <w:szCs w:val="32"/>
          <w:highlight w:val="none"/>
          <w:lang w:val="en-US" w:eastAsia="zh-CN"/>
        </w:rPr>
        <w:t>个物管会或业委会，组建率达</w:t>
      </w:r>
      <w:r>
        <w:rPr>
          <w:rFonts w:hint="eastAsia" w:ascii="仿宋_GB2312" w:hAnsi="仿宋_GB2312" w:eastAsia="仿宋_GB2312" w:cs="仿宋_GB2312"/>
          <w:b w:val="0"/>
          <w:bCs w:val="0"/>
          <w:color w:val="auto"/>
          <w:sz w:val="32"/>
          <w:szCs w:val="32"/>
          <w:highlight w:val="none"/>
          <w:lang w:val="en-US" w:eastAsia="zh-CN"/>
        </w:rPr>
        <w:t>100</w:t>
      </w:r>
      <w:r>
        <w:rPr>
          <w:rFonts w:hint="default" w:ascii="仿宋_GB2312" w:hAnsi="仿宋_GB2312" w:eastAsia="仿宋_GB2312" w:cs="仿宋_GB2312"/>
          <w:b w:val="0"/>
          <w:bCs w:val="0"/>
          <w:color w:val="auto"/>
          <w:sz w:val="32"/>
          <w:szCs w:val="32"/>
          <w:highlight w:val="none"/>
          <w:lang w:val="en-US" w:eastAsia="zh-CN"/>
        </w:rPr>
        <w:t>％，52个小区实现物业企业服务，物业管理覆盖率达94.5%，业委会、物管会和物业企业均成立了党组织，党覆盖率</w:t>
      </w:r>
      <w:r>
        <w:rPr>
          <w:rFonts w:hint="eastAsia" w:ascii="仿宋_GB2312" w:hAnsi="仿宋_GB2312" w:eastAsia="仿宋_GB2312" w:cs="仿宋_GB2312"/>
          <w:b w:val="0"/>
          <w:bCs w:val="0"/>
          <w:color w:val="auto"/>
          <w:sz w:val="32"/>
          <w:szCs w:val="32"/>
          <w:highlight w:val="none"/>
          <w:lang w:val="en-US" w:eastAsia="zh-CN"/>
        </w:rPr>
        <w:t>、报到率</w:t>
      </w:r>
      <w:r>
        <w:rPr>
          <w:rFonts w:hint="default" w:ascii="仿宋_GB2312" w:hAnsi="仿宋_GB2312" w:eastAsia="仿宋_GB2312" w:cs="仿宋_GB2312"/>
          <w:b w:val="0"/>
          <w:bCs w:val="0"/>
          <w:color w:val="auto"/>
          <w:sz w:val="32"/>
          <w:szCs w:val="32"/>
          <w:highlight w:val="none"/>
          <w:lang w:val="en-US" w:eastAsia="zh-CN"/>
        </w:rPr>
        <w:t>达100％。</w:t>
      </w:r>
      <w:r>
        <w:rPr>
          <w:rFonts w:hint="eastAsia" w:ascii="仿宋_GB2312" w:hAnsi="仿宋_GB2312" w:eastAsia="仿宋_GB2312" w:cs="仿宋_GB2312"/>
          <w:b w:val="0"/>
          <w:bCs w:val="0"/>
          <w:color w:val="auto"/>
          <w:sz w:val="32"/>
          <w:szCs w:val="32"/>
          <w:highlight w:val="none"/>
          <w:lang w:val="en-US" w:eastAsia="zh-CN"/>
        </w:rPr>
        <w:t>积极发挥物管会作用，</w:t>
      </w:r>
      <w:r>
        <w:rPr>
          <w:rFonts w:hint="default" w:ascii="仿宋_GB2312" w:hAnsi="仿宋_GB2312" w:eastAsia="仿宋_GB2312" w:cs="仿宋_GB2312"/>
          <w:b w:val="0"/>
          <w:bCs w:val="0"/>
          <w:color w:val="auto"/>
          <w:sz w:val="32"/>
          <w:szCs w:val="32"/>
          <w:highlight w:val="none"/>
          <w:lang w:val="en-US" w:eastAsia="zh-CN"/>
        </w:rPr>
        <w:t>为群众解决产权证办理、更换消防管线等多年物业管理难题，着力破解央产老旧小区“三供一业”改革不彻底、不完善衍生出的系列难题，形成工作经验在地区推广。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打好精准脱贫和污染防治攻坚战。地区生态不断改善，扎实开展大气污染防治，清扫“第五立面”9500㎡，完成“扬尘治理百日行动”并落实“站长制”，持续压实河长制，累计巡河1953公里。强化施工扬尘精细化管控。PM2.5 累计浓度37微克/立方米，全区排名第五，空气质量显著改善。圆满</w:t>
      </w:r>
      <w:r>
        <w:rPr>
          <w:rFonts w:hint="eastAsia" w:ascii="仿宋_GB2312" w:eastAsia="仿宋_GB2312"/>
          <w:b w:val="0"/>
          <w:bCs w:val="0"/>
          <w:color w:val="auto"/>
          <w:sz w:val="32"/>
          <w:szCs w:val="32"/>
          <w:lang w:val="en-US" w:eastAsia="zh-CN"/>
        </w:rPr>
        <w:t>完成地区对口扶贫协作和对口支援帮扶任务，结对扶贫不断深化。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（五）坚持总体国家安全观，把维护核心区绝对安全作为重大政治任务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rPr>
        <w:t>全力服务保障首都功能。调度统筹各项重点工作任务，圆满完成</w:t>
      </w:r>
      <w:r>
        <w:rPr>
          <w:rFonts w:hint="eastAsia" w:ascii="仿宋_GB2312" w:eastAsia="仿宋_GB2312" w:cs="仿宋_GB2312"/>
          <w:b w:val="0"/>
          <w:bCs w:val="0"/>
          <w:color w:val="auto"/>
          <w:sz w:val="32"/>
          <w:szCs w:val="32"/>
          <w:lang w:eastAsia="zh-CN"/>
        </w:rPr>
        <w:t>全国“两会”、</w:t>
      </w:r>
      <w:r>
        <w:rPr>
          <w:rFonts w:hint="eastAsia" w:ascii="仿宋_GB2312" w:eastAsia="仿宋_GB2312" w:cs="仿宋_GB2312"/>
          <w:b w:val="0"/>
          <w:bCs w:val="0"/>
          <w:color w:val="auto"/>
          <w:sz w:val="32"/>
          <w:szCs w:val="32"/>
        </w:rPr>
        <w:t>建党</w:t>
      </w:r>
      <w:r>
        <w:rPr>
          <w:rFonts w:hint="eastAsia" w:ascii="仿宋_GB2312" w:eastAsia="仿宋_GB2312" w:cs="仿宋_GB2312"/>
          <w:b w:val="0"/>
          <w:bCs w:val="0"/>
          <w:color w:val="auto"/>
          <w:sz w:val="32"/>
          <w:szCs w:val="32"/>
          <w:lang w:eastAsia="zh-CN"/>
        </w:rPr>
        <w:t>百</w:t>
      </w:r>
      <w:r>
        <w:rPr>
          <w:rFonts w:hint="eastAsia" w:ascii="仿宋_GB2312" w:eastAsia="仿宋_GB2312" w:cs="仿宋_GB2312"/>
          <w:b w:val="0"/>
          <w:bCs w:val="0"/>
          <w:color w:val="auto"/>
          <w:sz w:val="32"/>
          <w:szCs w:val="32"/>
        </w:rPr>
        <w:t>周年庆祝活动</w:t>
      </w:r>
      <w:r>
        <w:rPr>
          <w:rFonts w:hint="eastAsia" w:ascii="仿宋_GB2312" w:eastAsia="仿宋_GB2312" w:cs="仿宋_GB2312"/>
          <w:b w:val="0"/>
          <w:bCs w:val="0"/>
          <w:color w:val="auto"/>
          <w:sz w:val="32"/>
          <w:szCs w:val="32"/>
          <w:lang w:eastAsia="zh-CN"/>
        </w:rPr>
        <w:t>、十九届六中全会</w:t>
      </w:r>
      <w:r>
        <w:rPr>
          <w:rFonts w:hint="eastAsia" w:ascii="仿宋_GB2312" w:eastAsia="仿宋_GB2312" w:cs="仿宋_GB2312"/>
          <w:b w:val="0"/>
          <w:bCs w:val="0"/>
          <w:color w:val="auto"/>
          <w:sz w:val="32"/>
          <w:szCs w:val="32"/>
        </w:rPr>
        <w:t>等重大政治活动</w:t>
      </w:r>
      <w:r>
        <w:rPr>
          <w:rFonts w:hint="eastAsia" w:ascii="仿宋_GB2312" w:eastAsia="仿宋_GB2312" w:cs="仿宋_GB2312"/>
          <w:b w:val="0"/>
          <w:bCs w:val="0"/>
          <w:color w:val="auto"/>
          <w:sz w:val="32"/>
          <w:szCs w:val="32"/>
          <w:lang w:eastAsia="zh-CN"/>
        </w:rPr>
        <w:t>服务保障任务。巩固拓展扫黑除恶专项斗争成果。</w:t>
      </w:r>
      <w:r>
        <w:rPr>
          <w:rFonts w:hint="eastAsia" w:ascii="仿宋_GB2312" w:hAnsi="仿宋_GB2312" w:eastAsia="仿宋_GB2312" w:cs="仿宋_GB2312"/>
          <w:b w:val="0"/>
          <w:bCs w:val="0"/>
          <w:color w:val="auto"/>
          <w:sz w:val="32"/>
          <w:szCs w:val="32"/>
        </w:rPr>
        <w:t>开展反恐、非法集资、反邪教警示教育宣传工作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成立街道综合应急救援队，开展22次应急演练。</w:t>
      </w:r>
      <w:r>
        <w:rPr>
          <w:rFonts w:hint="eastAsia" w:ascii="仿宋_GB2312" w:eastAsia="仿宋_GB2312" w:cs="仿宋_GB2312"/>
          <w:b w:val="0"/>
          <w:bCs w:val="0"/>
          <w:color w:val="auto"/>
          <w:sz w:val="32"/>
          <w:szCs w:val="32"/>
          <w:lang w:eastAsia="zh-CN"/>
        </w:rPr>
        <w:t>开展“两个严防”、民用液化气安全隐患、电动自行车违规充电</w:t>
      </w:r>
      <w:r>
        <w:rPr>
          <w:rFonts w:hint="eastAsia" w:ascii="仿宋_GB2312" w:hAnsi="仿宋_GB2312" w:eastAsia="仿宋_GB2312" w:cs="仿宋_GB2312"/>
          <w:b w:val="0"/>
          <w:bCs w:val="0"/>
          <w:color w:val="auto"/>
          <w:sz w:val="32"/>
          <w:szCs w:val="32"/>
          <w:lang w:eastAsia="zh-CN"/>
        </w:rPr>
        <w:t>等专项整治行动，</w:t>
      </w:r>
      <w:r>
        <w:rPr>
          <w:rFonts w:hint="eastAsia" w:ascii="仿宋_GB2312" w:hAnsi="仿宋_GB2312" w:eastAsia="仿宋_GB2312" w:cs="仿宋_GB2312"/>
          <w:b w:val="0"/>
          <w:bCs w:val="0"/>
          <w:color w:val="auto"/>
          <w:sz w:val="32"/>
          <w:szCs w:val="32"/>
          <w:highlight w:val="none"/>
          <w:lang w:eastAsia="zh-CN"/>
        </w:rPr>
        <w:t>安装充电设施1</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0余处，安装液化气报警器和紧急切断阀30</w:t>
      </w:r>
      <w:r>
        <w:rPr>
          <w:rFonts w:hint="eastAsia" w:ascii="仿宋_GB2312" w:hAnsi="仿宋_GB2312" w:eastAsia="仿宋_GB2312" w:cs="仿宋_GB2312"/>
          <w:b w:val="0"/>
          <w:bCs w:val="0"/>
          <w:color w:val="auto"/>
          <w:sz w:val="32"/>
          <w:szCs w:val="32"/>
          <w:highlight w:val="none"/>
          <w:lang w:val="en-US" w:eastAsia="zh-CN"/>
        </w:rPr>
        <w:t>00余</w:t>
      </w:r>
      <w:r>
        <w:rPr>
          <w:rFonts w:hint="eastAsia" w:ascii="仿宋_GB2312" w:hAnsi="仿宋_GB2312" w:eastAsia="仿宋_GB2312" w:cs="仿宋_GB2312"/>
          <w:b w:val="0"/>
          <w:bCs w:val="0"/>
          <w:color w:val="auto"/>
          <w:sz w:val="32"/>
          <w:szCs w:val="32"/>
          <w:highlight w:val="none"/>
          <w:lang w:eastAsia="zh-CN"/>
        </w:rPr>
        <w:t>套，</w:t>
      </w:r>
      <w:r>
        <w:rPr>
          <w:rFonts w:hint="eastAsia" w:ascii="仿宋_GB2312" w:hAnsi="仿宋_GB2312" w:eastAsia="仿宋_GB2312" w:cs="仿宋_GB2312"/>
          <w:b w:val="0"/>
          <w:bCs w:val="0"/>
          <w:color w:val="auto"/>
          <w:sz w:val="32"/>
          <w:szCs w:val="32"/>
        </w:rPr>
        <w:t>重大政治活动期间地区安全形势绝对平稳</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群众安全感更有保障。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坚决</w:t>
      </w:r>
      <w:r>
        <w:rPr>
          <w:rFonts w:hint="eastAsia" w:ascii="仿宋_GB2312" w:hAnsi="仿宋_GB2312" w:eastAsia="仿宋_GB2312" w:cs="仿宋_GB2312"/>
          <w:b w:val="0"/>
          <w:bCs w:val="0"/>
          <w:color w:val="auto"/>
          <w:sz w:val="32"/>
          <w:szCs w:val="32"/>
        </w:rPr>
        <w:t>落实</w:t>
      </w:r>
      <w:r>
        <w:rPr>
          <w:rFonts w:hint="eastAsia" w:ascii="仿宋_GB2312" w:hAnsi="仿宋_GB2312" w:eastAsia="仿宋_GB2312" w:cs="仿宋_GB2312"/>
          <w:b w:val="0"/>
          <w:bCs w:val="0"/>
          <w:color w:val="auto"/>
          <w:sz w:val="32"/>
          <w:szCs w:val="32"/>
          <w:lang w:eastAsia="zh-CN"/>
        </w:rPr>
        <w:t>地区</w:t>
      </w:r>
      <w:r>
        <w:rPr>
          <w:rFonts w:hint="eastAsia" w:ascii="仿宋_GB2312" w:hAnsi="仿宋_GB2312" w:eastAsia="仿宋_GB2312" w:cs="仿宋_GB2312"/>
          <w:b w:val="0"/>
          <w:bCs w:val="0"/>
          <w:color w:val="auto"/>
          <w:sz w:val="32"/>
          <w:szCs w:val="32"/>
        </w:rPr>
        <w:t>安全生生责任。街道工委每季度研究安全生产工作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落实市委市政府安全生产第十督察组反馈意见整改工作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项</w:t>
      </w:r>
      <w:r>
        <w:rPr>
          <w:rFonts w:hint="eastAsia" w:ascii="仿宋_GB2312" w:hAnsi="仿宋_GB2312" w:eastAsia="仿宋_GB2312" w:cs="仿宋_GB2312"/>
          <w:b w:val="0"/>
          <w:bCs w:val="0"/>
          <w:color w:val="auto"/>
          <w:sz w:val="32"/>
          <w:szCs w:val="32"/>
          <w:lang w:eastAsia="zh-CN"/>
        </w:rPr>
        <w:t>问题</w:t>
      </w:r>
      <w:r>
        <w:rPr>
          <w:rFonts w:hint="eastAsia" w:ascii="仿宋_GB2312" w:hAnsi="仿宋_GB2312" w:eastAsia="仿宋_GB2312" w:cs="仿宋_GB2312"/>
          <w:b w:val="0"/>
          <w:bCs w:val="0"/>
          <w:color w:val="auto"/>
          <w:sz w:val="32"/>
          <w:szCs w:val="32"/>
        </w:rPr>
        <w:t>已全部整改</w:t>
      </w:r>
      <w:r>
        <w:rPr>
          <w:rFonts w:hint="eastAsia" w:ascii="仿宋_GB2312" w:hAnsi="仿宋_GB2312" w:eastAsia="仿宋_GB2312" w:cs="仿宋_GB2312"/>
          <w:b w:val="0"/>
          <w:bCs w:val="0"/>
          <w:color w:val="auto"/>
          <w:sz w:val="32"/>
          <w:szCs w:val="32"/>
          <w:lang w:val="en-US" w:eastAsia="zh-CN"/>
        </w:rPr>
        <w:t>到位。</w:t>
      </w:r>
      <w:r>
        <w:rPr>
          <w:rFonts w:hint="eastAsia" w:ascii="仿宋_GB2312" w:eastAsia="仿宋_GB2312"/>
          <w:b w:val="0"/>
          <w:bCs w:val="0"/>
          <w:sz w:val="32"/>
          <w:szCs w:val="32"/>
        </w:rPr>
        <w:t>强化特种作业领域安全监管。</w:t>
      </w:r>
      <w:r>
        <w:rPr>
          <w:rFonts w:hint="eastAsia" w:ascii="仿宋_GB2312" w:hAnsi="仿宋_GB2312" w:eastAsia="仿宋_GB2312" w:cs="仿宋_GB2312"/>
          <w:b w:val="0"/>
          <w:bCs w:val="0"/>
          <w:color w:val="auto"/>
          <w:sz w:val="32"/>
          <w:szCs w:val="32"/>
        </w:rPr>
        <w:t>开展广内地区安全生产</w:t>
      </w:r>
      <w:r>
        <w:rPr>
          <w:rFonts w:hint="eastAsia" w:ascii="仿宋_GB2312" w:hAnsi="仿宋_GB2312" w:eastAsia="仿宋_GB2312" w:cs="仿宋_GB2312"/>
          <w:b w:val="0"/>
          <w:bCs w:val="0"/>
          <w:color w:val="auto"/>
          <w:sz w:val="32"/>
          <w:szCs w:val="32"/>
          <w:lang w:val="en-US" w:eastAsia="zh-CN"/>
        </w:rPr>
        <w:t>60日</w:t>
      </w:r>
      <w:r>
        <w:rPr>
          <w:rFonts w:hint="eastAsia" w:ascii="仿宋_GB2312" w:hAnsi="仿宋_GB2312" w:eastAsia="仿宋_GB2312" w:cs="仿宋_GB2312"/>
          <w:b w:val="0"/>
          <w:bCs w:val="0"/>
          <w:color w:val="auto"/>
          <w:sz w:val="32"/>
          <w:szCs w:val="32"/>
        </w:rPr>
        <w:t>行动，</w:t>
      </w:r>
      <w:r>
        <w:rPr>
          <w:rFonts w:hint="eastAsia" w:ascii="仿宋_GB2312" w:hAnsi="仿宋_GB2312" w:eastAsia="仿宋_GB2312" w:cs="仿宋_GB2312"/>
          <w:b w:val="0"/>
          <w:bCs w:val="0"/>
          <w:color w:val="auto"/>
          <w:sz w:val="32"/>
          <w:szCs w:val="32"/>
          <w:lang w:val="en-US" w:eastAsia="zh-CN"/>
        </w:rPr>
        <w:t>围绕10项专项任务</w:t>
      </w:r>
      <w:r>
        <w:rPr>
          <w:rFonts w:hint="eastAsia" w:ascii="仿宋_GB2312" w:hAnsi="仿宋_GB2312" w:eastAsia="仿宋_GB2312" w:cs="仿宋_GB2312"/>
          <w:b w:val="0"/>
          <w:bCs w:val="0"/>
          <w:color w:val="auto"/>
          <w:sz w:val="32"/>
          <w:szCs w:val="32"/>
        </w:rPr>
        <w:t>对辖区重点行业领域进行全面摸底排查。检查生产经营单位</w:t>
      </w:r>
      <w:r>
        <w:rPr>
          <w:rFonts w:hint="eastAsia" w:ascii="仿宋_GB2312" w:hAnsi="仿宋_GB2312" w:eastAsia="仿宋_GB2312" w:cs="仿宋_GB2312"/>
          <w:b w:val="0"/>
          <w:bCs w:val="0"/>
          <w:color w:val="auto"/>
          <w:sz w:val="32"/>
          <w:szCs w:val="32"/>
          <w:lang w:val="en-US" w:eastAsia="zh-CN"/>
        </w:rPr>
        <w:t>7773</w:t>
      </w:r>
      <w:r>
        <w:rPr>
          <w:rFonts w:hint="eastAsia" w:ascii="仿宋_GB2312" w:hAnsi="仿宋_GB2312" w:eastAsia="仿宋_GB2312" w:cs="仿宋_GB2312"/>
          <w:b w:val="0"/>
          <w:bCs w:val="0"/>
          <w:color w:val="auto"/>
          <w:sz w:val="32"/>
          <w:szCs w:val="32"/>
        </w:rPr>
        <w:t>家次，查处各类安全生产隐患</w:t>
      </w:r>
      <w:r>
        <w:rPr>
          <w:rFonts w:hint="eastAsia" w:ascii="仿宋_GB2312" w:hAnsi="仿宋_GB2312" w:eastAsia="仿宋_GB2312" w:cs="仿宋_GB2312"/>
          <w:b w:val="0"/>
          <w:bCs w:val="0"/>
          <w:color w:val="auto"/>
          <w:sz w:val="32"/>
          <w:szCs w:val="32"/>
          <w:lang w:val="en-US" w:eastAsia="zh-CN"/>
        </w:rPr>
        <w:t>6044</w:t>
      </w:r>
      <w:r>
        <w:rPr>
          <w:rFonts w:hint="eastAsia" w:ascii="仿宋_GB2312" w:hAnsi="仿宋_GB2312" w:eastAsia="仿宋_GB2312" w:cs="仿宋_GB2312"/>
          <w:b w:val="0"/>
          <w:bCs w:val="0"/>
          <w:color w:val="auto"/>
          <w:sz w:val="32"/>
          <w:szCs w:val="32"/>
        </w:rPr>
        <w:t>项，下达限期整改通知书</w:t>
      </w:r>
      <w:r>
        <w:rPr>
          <w:rFonts w:hint="eastAsia" w:ascii="仿宋_GB2312" w:hAnsi="仿宋_GB2312" w:eastAsia="仿宋_GB2312" w:cs="仿宋_GB2312"/>
          <w:b w:val="0"/>
          <w:bCs w:val="0"/>
          <w:color w:val="auto"/>
          <w:sz w:val="32"/>
          <w:szCs w:val="32"/>
          <w:lang w:val="en-US" w:eastAsia="zh-CN"/>
        </w:rPr>
        <w:t>3242</w:t>
      </w:r>
      <w:r>
        <w:rPr>
          <w:rFonts w:hint="eastAsia" w:ascii="仿宋_GB2312" w:hAnsi="仿宋_GB2312" w:eastAsia="仿宋_GB2312" w:cs="仿宋_GB2312"/>
          <w:b w:val="0"/>
          <w:bCs w:val="0"/>
          <w:color w:val="auto"/>
          <w:sz w:val="32"/>
          <w:szCs w:val="32"/>
        </w:rPr>
        <w:t>份，责令停产停工</w:t>
      </w:r>
      <w:r>
        <w:rPr>
          <w:rFonts w:hint="eastAsia" w:ascii="仿宋_GB2312" w:hAnsi="仿宋_GB2312" w:eastAsia="仿宋_GB2312" w:cs="仿宋_GB2312"/>
          <w:b w:val="0"/>
          <w:bCs w:val="0"/>
          <w:color w:val="auto"/>
          <w:sz w:val="32"/>
          <w:szCs w:val="32"/>
          <w:lang w:val="en-US" w:eastAsia="zh-CN"/>
        </w:rPr>
        <w:t>34</w:t>
      </w:r>
      <w:r>
        <w:rPr>
          <w:rFonts w:hint="eastAsia" w:ascii="仿宋_GB2312" w:hAnsi="仿宋_GB2312" w:eastAsia="仿宋_GB2312" w:cs="仿宋_GB2312"/>
          <w:b w:val="0"/>
          <w:bCs w:val="0"/>
          <w:color w:val="auto"/>
          <w:sz w:val="32"/>
          <w:szCs w:val="32"/>
        </w:rPr>
        <w:t>家次，约谈企业负责人</w:t>
      </w:r>
      <w:r>
        <w:rPr>
          <w:rFonts w:hint="eastAsia" w:ascii="仿宋_GB2312" w:hAnsi="仿宋_GB2312" w:eastAsia="仿宋_GB2312" w:cs="仿宋_GB2312"/>
          <w:b w:val="0"/>
          <w:bCs w:val="0"/>
          <w:color w:val="auto"/>
          <w:sz w:val="32"/>
          <w:szCs w:val="32"/>
          <w:lang w:val="en-US" w:eastAsia="zh-CN"/>
        </w:rPr>
        <w:t>31</w:t>
      </w:r>
      <w:r>
        <w:rPr>
          <w:rFonts w:hint="eastAsia" w:ascii="仿宋_GB2312" w:hAnsi="仿宋_GB2312" w:eastAsia="仿宋_GB2312" w:cs="仿宋_GB2312"/>
          <w:b w:val="0"/>
          <w:bCs w:val="0"/>
          <w:color w:val="auto"/>
          <w:sz w:val="32"/>
          <w:szCs w:val="32"/>
        </w:rPr>
        <w:t>次</w:t>
      </w:r>
      <w:r>
        <w:rPr>
          <w:rFonts w:hint="eastAsia" w:ascii="仿宋_GB2312" w:hAnsi="仿宋_GB2312" w:eastAsia="仿宋_GB2312" w:cs="仿宋_GB2312"/>
          <w:b w:val="0"/>
          <w:bCs w:val="0"/>
          <w:color w:val="auto"/>
          <w:sz w:val="32"/>
          <w:szCs w:val="32"/>
          <w:lang w:eastAsia="zh-CN"/>
        </w:rPr>
        <w:t>，</w:t>
      </w:r>
      <w:r>
        <w:rPr>
          <w:rFonts w:hint="eastAsia" w:ascii="仿宋_GB2312" w:hAnsi="仿宋" w:eastAsia="仿宋_GB2312" w:cs="仿宋"/>
          <w:b w:val="0"/>
          <w:bCs w:val="0"/>
          <w:sz w:val="32"/>
          <w:szCs w:val="32"/>
        </w:rPr>
        <w:t>检查覆盖率</w:t>
      </w:r>
      <w:r>
        <w:rPr>
          <w:rFonts w:hint="eastAsia" w:ascii="仿宋_GB2312" w:hAnsi="仿宋" w:eastAsia="仿宋_GB2312" w:cs="仿宋"/>
          <w:b w:val="0"/>
          <w:bCs w:val="0"/>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深化矛盾纠纷多元化调解机制。严格落实行政执法“三项制度”。扎实推进调解体系建设，成立西城区首个多元调解中心，自运行以来接待群众300余人次，接待咨询160余起，调解案件51件，调解成功率88.2％。处理12345热线投诉纠纷14起，未诉先办5起，占调解案件37.2％，成功率78.94％，收到居民赠送锦旗10面，有效提高辖区市民热线满意率与解决率，获得辖区群众广泛认可和好评。开展矛盾纠纷排查，街道处级领导共约访、接访52批次。加强普法宣传，开展各类普法宣传活动30余场，惠及辖区群众1万余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（六）紧扣“七有”目标和“五性”需求，社会民生福祉持续改善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eastAsia="仿宋_GB2312"/>
          <w:b w:val="0"/>
          <w:bCs w:val="0"/>
          <w:color w:val="auto"/>
          <w:sz w:val="32"/>
          <w:szCs w:val="32"/>
          <w:lang w:val="en-US" w:eastAsia="zh-CN"/>
        </w:rPr>
        <w:t>弱有所扶、难有所帮、困有所助更加有力。稳步推进综合窗口“一窗通办”工作。</w:t>
      </w:r>
      <w:r>
        <w:rPr>
          <w:rFonts w:hint="eastAsia" w:ascii="仿宋_GB2312" w:eastAsia="仿宋_GB2312"/>
          <w:b w:val="0"/>
          <w:bCs w:val="0"/>
          <w:color w:val="auto"/>
          <w:sz w:val="32"/>
          <w:szCs w:val="32"/>
          <w:highlight w:val="none"/>
          <w:lang w:val="en-US" w:eastAsia="zh-CN"/>
        </w:rPr>
        <w:t>支持重点群体就业1249人</w:t>
      </w:r>
      <w:r>
        <w:rPr>
          <w:rFonts w:hint="eastAsia" w:ascii="仿宋_GB2312" w:eastAsia="仿宋_GB2312"/>
          <w:b w:val="0"/>
          <w:bCs w:val="0"/>
          <w:color w:val="auto"/>
          <w:sz w:val="32"/>
          <w:szCs w:val="32"/>
          <w:lang w:val="en-US" w:eastAsia="zh-CN"/>
        </w:rPr>
        <w:t>。依托辖区养老服务机构，开展居家养老巡视探访6654人次，养老助餐服务23776人次，生活困难服务保障1006人次。温馨家园推出家园服务进社区“按需上菜”活动，服务残疾人千余人次，150名残疾人康复服务和培训。全元素整改无障碍设施17个点位。</w:t>
      </w:r>
      <w:r>
        <w:rPr>
          <w:rFonts w:hint="eastAsia" w:ascii="仿宋_GB2312" w:hAnsi="仿宋_GB2312" w:eastAsia="仿宋_GB2312" w:cs="仿宋_GB2312"/>
          <w:b w:val="0"/>
          <w:bCs w:val="0"/>
          <w:color w:val="auto"/>
          <w:kern w:val="2"/>
          <w:sz w:val="32"/>
          <w:szCs w:val="32"/>
          <w:lang w:val="en-US" w:eastAsia="zh-CN" w:bidi="ar-SA"/>
        </w:rPr>
        <w:t>帮扶救助各类困难群体7600余人次，累计发放各类救助金2400余万元。发放公租房补贴和市场租补贴356.87万元，13户家庭进行公租房选房，“住有所居”任务完成率100%。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eastAsia="仿宋_GB2312"/>
          <w:b w:val="0"/>
          <w:bCs w:val="0"/>
          <w:color w:val="auto"/>
          <w:sz w:val="32"/>
          <w:szCs w:val="32"/>
          <w:lang w:val="en-US" w:eastAsia="zh-CN"/>
        </w:rPr>
        <w:t>持续抓好便利生活与服务提升。新增便民服务网点2个、老年餐桌1处，引入洗浴企业缓解居民洗浴难。完成三庙街、范家胡同、下斜街、核桃园西街四条支路以下道路路侧电子收费停车，新增车位63个。推动西便门东里小区停车自治，缓解停车难。586间平房得到修缮翻建。污水改造15处。推进长椿街乙三号楼加装电梯、大街东和核桃园社区8栋居民楼上下水管道改造、槐柏树后街2号楼外墙保温问题逐步解决，完成校场社区低洼院落排水系统接电启用、三庙小区2号楼加装水泵、广安门北街20号院无障碍坡道改造和消防设施改造等工程，切实解决居民“急难愁盼”，提升幸福感。广内卫生健康委员会正式成立。发挥学区理事会作用，建立</w:t>
      </w:r>
      <w:r>
        <w:rPr>
          <w:rFonts w:hint="eastAsia" w:ascii="仿宋_GB2312" w:hAnsi="仿宋_GB2312" w:eastAsia="仿宋_GB2312" w:cs="仿宋_GB2312"/>
          <w:b w:val="0"/>
          <w:bCs w:val="0"/>
          <w:color w:val="auto"/>
          <w:kern w:val="2"/>
          <w:sz w:val="32"/>
          <w:szCs w:val="32"/>
          <w:lang w:val="en-US" w:eastAsia="zh-CN" w:bidi="ar-SA"/>
        </w:rPr>
        <w:t>教育联席会制度，西城家长学校落户广内。</w:t>
      </w:r>
      <w:r>
        <w:rPr>
          <w:rFonts w:hint="default" w:ascii="仿宋_GB2312" w:hAnsi="仿宋_GB2312" w:eastAsia="仿宋_GB2312" w:cs="仿宋_GB2312"/>
          <w:b w:val="0"/>
          <w:bCs w:val="0"/>
          <w:color w:val="auto"/>
          <w:kern w:val="2"/>
          <w:sz w:val="32"/>
          <w:szCs w:val="32"/>
          <w:lang w:val="en-US" w:eastAsia="zh-CN" w:bidi="ar-SA"/>
        </w:rPr>
        <w:t>成立老兵之家艺术团</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12名退役军人荣获西城区优秀退役军人称号</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二、2022年工作思路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指导思想：学习贯彻落实党的二十大精神</w:t>
      </w:r>
      <w:r>
        <w:rPr>
          <w:rFonts w:hint="eastAsia"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区第十三次党代会精神，围绕服务保障首都功能，围绕全区重点任务，围绕广内街道接诉即办反映的共性难题，提高站位，统一思想，抓统筹，聚合力，保底线，促改革，强作风，不断提升人民群众的获得感幸福感安全感，在西城区各项工作中干在实处</w:t>
      </w:r>
      <w:r>
        <w:rPr>
          <w:rFonts w:hint="eastAsia" w:hAnsi="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走在前列。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一是服务保障首都功能，当好红墙卫士。坚持稳中求进的总基调。抓好常态化疫情防控，</w:t>
      </w:r>
      <w:r>
        <w:rPr>
          <w:rFonts w:hint="eastAsia" w:ascii="仿宋_GB2312" w:hAnsi="仿宋_GB2312" w:eastAsia="仿宋_GB2312" w:cs="仿宋_GB2312"/>
          <w:b w:val="0"/>
          <w:bCs w:val="0"/>
          <w:color w:val="auto"/>
          <w:kern w:val="2"/>
          <w:sz w:val="32"/>
          <w:szCs w:val="32"/>
          <w:highlight w:val="none"/>
          <w:lang w:val="en-US" w:eastAsia="zh-CN" w:bidi="ar-SA"/>
        </w:rPr>
        <w:t>筑牢辖区安全防线；全力做好冬奥会、全国“两会”、党的二十大等重大活动服务保障任务；推进智慧平安小区建设；抓好单位治理团队建设；开展矛盾纠纷排查化解；一体化推进普法教育和人民调解，完善三级调解体系建设；持续开展安全隐患排查，巩固专项整治成果；督促辖区单位落实安全生产主体责任；用好群防群治力量，织密辖区安全网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二是突出加强党的政治建设，提供坚强政治保障。落实全面从严治党主体责任；落实意识形态责任制；</w:t>
      </w:r>
      <w:r>
        <w:rPr>
          <w:rFonts w:hint="eastAsia" w:ascii="仿宋_GB2312" w:hAnsi="仿宋_GB2312" w:eastAsia="仿宋_GB2312" w:cs="仿宋_GB2312"/>
          <w:b w:val="0"/>
          <w:bCs w:val="0"/>
          <w:color w:val="auto"/>
          <w:kern w:val="2"/>
          <w:sz w:val="32"/>
          <w:szCs w:val="32"/>
          <w:lang w:val="en-US" w:eastAsia="zh-CN" w:bidi="ar-SA"/>
        </w:rPr>
        <w:t>强化四级党组织联动，确保基层党建牵引有力、运转有序；</w:t>
      </w:r>
      <w:r>
        <w:rPr>
          <w:rFonts w:hint="eastAsia" w:ascii="仿宋_GB2312" w:hAnsi="仿宋_GB2312" w:eastAsia="仿宋_GB2312" w:cs="仿宋_GB2312"/>
          <w:b w:val="0"/>
          <w:bCs w:val="0"/>
          <w:color w:val="auto"/>
          <w:kern w:val="2"/>
          <w:sz w:val="32"/>
          <w:szCs w:val="32"/>
          <w:highlight w:val="none"/>
          <w:lang w:val="en-US" w:eastAsia="zh-CN" w:bidi="ar-SA"/>
        </w:rPr>
        <w:t>发挥各</w:t>
      </w:r>
      <w:r>
        <w:rPr>
          <w:rFonts w:hint="eastAsia" w:ascii="仿宋_GB2312" w:hAnsi="仿宋_GB2312" w:eastAsia="仿宋_GB2312" w:cs="仿宋_GB2312"/>
          <w:b w:val="0"/>
          <w:bCs w:val="0"/>
          <w:color w:val="auto"/>
          <w:kern w:val="2"/>
          <w:sz w:val="32"/>
          <w:szCs w:val="32"/>
          <w:lang w:val="en-US" w:eastAsia="zh-CN" w:bidi="ar-SA"/>
        </w:rPr>
        <w:t>级党建协调委员会作用，不断提升“双报到”实效；推进新领域新业态党的组织和工作覆盖；加强党员教育管理；</w:t>
      </w:r>
      <w:r>
        <w:rPr>
          <w:rFonts w:hint="eastAsia" w:ascii="仿宋_GB2312" w:hAnsi="仿宋_GB2312" w:eastAsia="仿宋_GB2312" w:cs="仿宋_GB2312"/>
          <w:b w:val="0"/>
          <w:bCs w:val="0"/>
          <w:color w:val="auto"/>
          <w:kern w:val="2"/>
          <w:sz w:val="32"/>
          <w:szCs w:val="32"/>
          <w:highlight w:val="none"/>
          <w:lang w:val="en-US" w:eastAsia="zh-CN" w:bidi="ar-SA"/>
        </w:rPr>
        <w:t>巩</w:t>
      </w:r>
      <w:r>
        <w:rPr>
          <w:rFonts w:hint="eastAsia" w:ascii="仿宋_GB2312" w:hAnsi="仿宋_GB2312" w:eastAsia="仿宋_GB2312" w:cs="仿宋_GB2312"/>
          <w:b w:val="0"/>
          <w:bCs w:val="0"/>
          <w:color w:val="auto"/>
          <w:kern w:val="2"/>
          <w:sz w:val="32"/>
          <w:szCs w:val="32"/>
          <w:lang w:val="en-US" w:eastAsia="zh-CN" w:bidi="ar-SA"/>
        </w:rPr>
        <w:t>固并有效转化党史学</w:t>
      </w:r>
      <w:r>
        <w:rPr>
          <w:rFonts w:hint="eastAsia" w:ascii="仿宋_GB2312" w:hAnsi="仿宋_GB2312" w:eastAsia="仿宋_GB2312" w:cs="仿宋_GB2312"/>
          <w:b w:val="0"/>
          <w:bCs w:val="0"/>
          <w:color w:val="auto"/>
          <w:kern w:val="2"/>
          <w:sz w:val="32"/>
          <w:szCs w:val="32"/>
          <w:highlight w:val="none"/>
          <w:lang w:val="en-US" w:eastAsia="zh-CN" w:bidi="ar-SA"/>
        </w:rPr>
        <w:t>习教育成果；以</w:t>
      </w:r>
      <w:r>
        <w:rPr>
          <w:rFonts w:hint="eastAsia" w:ascii="仿宋_GB2312" w:hAnsi="华文仿宋" w:eastAsia="仿宋_GB2312"/>
          <w:b w:val="0"/>
          <w:bCs w:val="0"/>
          <w:sz w:val="32"/>
          <w:szCs w:val="32"/>
        </w:rPr>
        <w:t>新时代文明实践</w:t>
      </w:r>
      <w:r>
        <w:rPr>
          <w:rFonts w:hint="eastAsia" w:ascii="仿宋_GB2312" w:hAnsi="华文仿宋" w:eastAsia="仿宋_GB2312"/>
          <w:b w:val="0"/>
          <w:bCs w:val="0"/>
          <w:sz w:val="32"/>
          <w:szCs w:val="32"/>
          <w:lang w:eastAsia="zh-CN"/>
        </w:rPr>
        <w:t>站为依托，发挥</w:t>
      </w:r>
      <w:r>
        <w:rPr>
          <w:rFonts w:hint="eastAsia" w:ascii="仿宋_GB2312" w:hAnsi="仿宋_GB2312" w:eastAsia="仿宋_GB2312" w:cs="仿宋_GB2312"/>
          <w:b w:val="0"/>
          <w:bCs w:val="0"/>
          <w:color w:val="auto"/>
          <w:kern w:val="2"/>
          <w:sz w:val="32"/>
          <w:szCs w:val="32"/>
          <w:lang w:val="en-US" w:eastAsia="zh-CN" w:bidi="ar-SA"/>
        </w:rPr>
        <w:t>广艺+市民文化中心引领带动作用；深化“红墙同心”项目，推进新时代公民道德责任体系建设；</w:t>
      </w:r>
      <w:r>
        <w:rPr>
          <w:rFonts w:hint="eastAsia" w:ascii="仿宋_GB2312" w:hAnsi="仿宋_GB2312" w:eastAsia="仿宋_GB2312" w:cs="仿宋_GB2312"/>
          <w:b w:val="0"/>
          <w:bCs w:val="0"/>
          <w:color w:val="auto"/>
          <w:kern w:val="2"/>
          <w:sz w:val="32"/>
          <w:szCs w:val="32"/>
          <w:highlight w:val="none"/>
          <w:lang w:val="en-US" w:eastAsia="zh-CN" w:bidi="ar-SA"/>
        </w:rPr>
        <w:t>健全和完善街道内控管理制度；</w:t>
      </w:r>
      <w:r>
        <w:rPr>
          <w:rFonts w:hint="eastAsia" w:ascii="仿宋_GB2312" w:hAnsi="仿宋_GB2312" w:eastAsia="仿宋_GB2312" w:cs="仿宋_GB2312"/>
          <w:b w:val="0"/>
          <w:bCs w:val="0"/>
          <w:color w:val="auto"/>
          <w:kern w:val="2"/>
          <w:sz w:val="32"/>
          <w:szCs w:val="32"/>
          <w:lang w:val="en-US" w:eastAsia="zh-CN" w:bidi="ar-SA"/>
        </w:rPr>
        <w:t>推进“廉政教育基地”建设，抓实党风廉政建设教育，突出日常监督；坚持常态化自查自纠；坚持正确的用人导向。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是加强精细化管理，促进区域品质全面提升。紧扣新总规发展思路，持续抓好“疏整促”专项行动、背街小巷精细化整治提升，保持拆违治乱高压态势；持续推进老旧小区改造；抓好街巷治理团队建设，优化整合治理力量；持续推进治理类社区综合整治；打好污染防治攻坚战；见缝插针织布绿色空间；加强物管会队伍建设，强化物管会临时党支部作用发挥；巩固垃圾分类工作成果，</w:t>
      </w:r>
      <w:r>
        <w:rPr>
          <w:rFonts w:hint="eastAsia" w:ascii="仿宋_GB2312" w:hAnsi="仿宋_GB2312" w:eastAsia="仿宋_GB2312" w:cs="仿宋_GB2312"/>
          <w:b w:val="0"/>
          <w:bCs w:val="0"/>
          <w:color w:val="auto"/>
          <w:kern w:val="2"/>
          <w:sz w:val="32"/>
          <w:szCs w:val="32"/>
          <w:highlight w:val="none"/>
          <w:lang w:val="en-US" w:eastAsia="zh-CN" w:bidi="ar-SA"/>
        </w:rPr>
        <w:t>逐步落实社区垃圾分类主体责任。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四是完善社区治理体系，提升社区治理水平。抓好社区治理团队建设；抓实楼门院自治，建好楼门院长队伍，落实社工包片联户责任；</w:t>
      </w:r>
      <w:r>
        <w:rPr>
          <w:rFonts w:hint="eastAsia" w:ascii="仿宋_GB2312" w:hAnsi="仿宋_GB2312" w:eastAsia="仿宋_GB2312" w:cs="仿宋_GB2312"/>
          <w:b w:val="0"/>
          <w:bCs w:val="0"/>
          <w:color w:val="auto"/>
          <w:kern w:val="2"/>
          <w:sz w:val="32"/>
          <w:szCs w:val="32"/>
          <w:highlight w:val="none"/>
          <w:lang w:val="en-US" w:eastAsia="zh-CN" w:bidi="ar-SA"/>
        </w:rPr>
        <w:t>推进街道社会工作服务中心建设；</w:t>
      </w:r>
      <w:r>
        <w:rPr>
          <w:rFonts w:hint="eastAsia" w:ascii="仿宋_GB2312" w:hAnsi="仿宋_GB2312" w:eastAsia="仿宋_GB2312" w:cs="仿宋_GB2312"/>
          <w:b w:val="0"/>
          <w:bCs w:val="0"/>
          <w:color w:val="auto"/>
          <w:kern w:val="2"/>
          <w:sz w:val="32"/>
          <w:szCs w:val="32"/>
          <w:lang w:val="en-US" w:eastAsia="zh-CN" w:bidi="ar-SA"/>
        </w:rPr>
        <w:t>运用“多中心治理”模式，</w:t>
      </w:r>
      <w:r>
        <w:rPr>
          <w:rFonts w:hint="eastAsia" w:ascii="仿宋_GB2312" w:hAnsi="仿宋_GB2312" w:eastAsia="仿宋_GB2312" w:cs="仿宋_GB2312"/>
          <w:b w:val="0"/>
          <w:bCs w:val="0"/>
          <w:color w:val="auto"/>
          <w:kern w:val="2"/>
          <w:sz w:val="32"/>
          <w:szCs w:val="32"/>
          <w:highlight w:val="none"/>
          <w:lang w:val="en-US" w:eastAsia="zh-CN" w:bidi="ar-SA"/>
        </w:rPr>
        <w:t>统筹市民文化中心、调解中心等，</w:t>
      </w:r>
      <w:r>
        <w:rPr>
          <w:rFonts w:hint="eastAsia" w:ascii="仿宋_GB2312" w:hAnsi="仿宋_GB2312" w:eastAsia="仿宋_GB2312" w:cs="仿宋_GB2312"/>
          <w:b w:val="0"/>
          <w:bCs w:val="0"/>
          <w:color w:val="auto"/>
          <w:kern w:val="2"/>
          <w:sz w:val="32"/>
          <w:szCs w:val="32"/>
          <w:lang w:val="en-US" w:eastAsia="zh-CN" w:bidi="ar-SA"/>
        </w:rPr>
        <w:t>搭建整体性社区治理结构，促进服务功能和治理能力双提升；用实“好商量”议事厅，坚持民生工程民意立项；有效执行社区管理制度；做实街道社区治理26项任务清单；打造党</w:t>
      </w:r>
      <w:r>
        <w:rPr>
          <w:rFonts w:hint="eastAsia" w:ascii="仿宋_GB2312" w:hAnsi="仿宋_GB2312" w:eastAsia="仿宋_GB2312" w:cs="仿宋_GB2312"/>
          <w:b w:val="0"/>
          <w:bCs w:val="0"/>
          <w:color w:val="auto"/>
          <w:kern w:val="2"/>
          <w:sz w:val="32"/>
          <w:szCs w:val="32"/>
          <w:highlight w:val="none"/>
          <w:lang w:val="en-US" w:eastAsia="zh-CN" w:bidi="ar-SA"/>
        </w:rPr>
        <w:t>建引领下的“政治、法治、德治、自治、共治”特色、品质</w:t>
      </w:r>
      <w:r>
        <w:rPr>
          <w:rFonts w:hint="eastAsia" w:ascii="仿宋_GB2312" w:hAnsi="仿宋_GB2312" w:eastAsia="仿宋_GB2312" w:cs="仿宋_GB2312"/>
          <w:b w:val="0"/>
          <w:bCs w:val="0"/>
          <w:color w:val="auto"/>
          <w:kern w:val="2"/>
          <w:sz w:val="32"/>
          <w:szCs w:val="32"/>
          <w:lang w:val="en-US" w:eastAsia="zh-CN" w:bidi="ar-SA"/>
        </w:rPr>
        <w:t>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cs="仿宋_GB2312"/>
          <w:b w:val="0"/>
          <w:bCs w:val="0"/>
          <w:szCs w:val="32"/>
        </w:rPr>
      </w:pPr>
      <w:r>
        <w:rPr>
          <w:rFonts w:hint="eastAsia" w:ascii="仿宋_GB2312" w:hAnsi="仿宋_GB2312" w:eastAsia="仿宋_GB2312" w:cs="仿宋_GB2312"/>
          <w:b w:val="0"/>
          <w:bCs w:val="0"/>
          <w:color w:val="auto"/>
          <w:kern w:val="2"/>
          <w:sz w:val="32"/>
          <w:szCs w:val="32"/>
          <w:lang w:val="en-US" w:eastAsia="zh-CN" w:bidi="ar-SA"/>
        </w:rPr>
        <w:t>五是保障和改善民生，守好百姓日子。</w:t>
      </w:r>
      <w:r>
        <w:rPr>
          <w:rFonts w:hint="eastAsia" w:ascii="仿宋_GB2312" w:hAnsi="华文仿宋" w:eastAsia="仿宋_GB2312" w:cs="Times New Roman"/>
          <w:b w:val="0"/>
          <w:bCs w:val="0"/>
          <w:sz w:val="32"/>
          <w:szCs w:val="32"/>
        </w:rPr>
        <w:t>持续完善生活性</w:t>
      </w:r>
      <w:r>
        <w:rPr>
          <w:rFonts w:hint="eastAsia" w:ascii="仿宋_GB2312" w:hAnsi="仿宋_GB2312" w:eastAsia="仿宋_GB2312" w:cs="仿宋_GB2312"/>
          <w:b w:val="0"/>
          <w:bCs w:val="0"/>
          <w:color w:val="auto"/>
          <w:kern w:val="2"/>
          <w:sz w:val="32"/>
          <w:szCs w:val="32"/>
          <w:lang w:val="en-US" w:eastAsia="zh-CN" w:bidi="ar-SA"/>
        </w:rPr>
        <w:t>服务业网点布局；探索物业+养老模式，推进养老服务稳步发展；建立街道和社区两级促就业机制；持续加强民生保障政策宣传力度；不断提升“接诉即办”热线办理工作能力水平；推进地区市民健康指导中心建设；完善社区公共卫生委员会运行机制，建强组织体系；发挥温馨家园、老兵之家等品牌辐射带动作用；扩大地区空竹非遗文化影响力；策划举办与街区历史文化资源禀</w:t>
      </w:r>
      <w:r>
        <w:rPr>
          <w:rFonts w:hint="eastAsia" w:ascii="仿宋_GB2312" w:hAnsi="仿宋_GB2312" w:eastAsia="仿宋_GB2312" w:cs="仿宋_GB2312"/>
          <w:b w:val="0"/>
          <w:bCs w:val="0"/>
          <w:color w:val="auto"/>
          <w:kern w:val="2"/>
          <w:sz w:val="36"/>
          <w:szCs w:val="36"/>
          <w:lang w:val="en-US" w:eastAsia="zh-CN" w:bidi="ar-SA"/>
        </w:rPr>
        <w:t>赋</w:t>
      </w:r>
      <w:r>
        <w:rPr>
          <w:rFonts w:hint="eastAsia" w:ascii="仿宋_GB2312" w:hAnsi="仿宋_GB2312" w:eastAsia="仿宋_GB2312" w:cs="仿宋_GB2312"/>
          <w:b w:val="0"/>
          <w:bCs w:val="0"/>
          <w:color w:val="auto"/>
          <w:kern w:val="2"/>
          <w:sz w:val="32"/>
          <w:szCs w:val="32"/>
          <w:lang w:val="en-US" w:eastAsia="zh-CN" w:bidi="ar-SA"/>
        </w:rPr>
        <w:t>相匹配的文化惠民活动，丰富居民精神文化生活。</w:t>
      </w:r>
    </w:p>
    <w:p>
      <w:pPr>
        <w:spacing w:line="560" w:lineRule="exact"/>
        <w:ind w:firstLine="640" w:firstLineChars="200"/>
        <w:jc w:val="center"/>
      </w:pPr>
    </w:p>
    <w:p>
      <w:pPr>
        <w:spacing w:line="560" w:lineRule="exact"/>
        <w:ind w:firstLine="640" w:firstLineChars="200"/>
        <w:jc w:val="center"/>
      </w:pPr>
    </w:p>
    <w:p>
      <w:pPr>
        <w:spacing w:line="560" w:lineRule="exact"/>
        <w:ind w:firstLine="640" w:firstLineChars="200"/>
        <w:jc w:val="center"/>
      </w:pPr>
    </w:p>
    <w:p>
      <w:pPr>
        <w:spacing w:line="560" w:lineRule="exact"/>
        <w:ind w:firstLine="4480" w:firstLineChars="1400"/>
        <w:rPr>
          <w:rFonts w:hint="default" w:eastAsia="仿宋_GB2312"/>
          <w:lang w:val="en-US" w:eastAsia="zh-CN"/>
        </w:rPr>
      </w:pPr>
      <w:r>
        <w:rPr>
          <w:rFonts w:hint="eastAsia"/>
          <w:lang w:val="en-US" w:eastAsia="zh-CN"/>
        </w:rPr>
        <w:t>2021年12月28日</w:t>
      </w:r>
    </w:p>
    <w:p>
      <w:pPr>
        <w:spacing w:line="560" w:lineRule="exact"/>
        <w:rPr>
          <w:rFonts w:hint="eastAsia"/>
          <w:szCs w:val="32"/>
        </w:rPr>
      </w:pPr>
      <w:r>
        <w:rPr>
          <w:rFonts w:hint="eastAsia"/>
        </w:rPr>
        <w:t xml:space="preserve">        </w:t>
      </w:r>
      <w:r>
        <w:rPr>
          <w:rFonts w:hint="eastAsia"/>
          <w:szCs w:val="32"/>
        </w:rPr>
        <w:t xml:space="preserve">        </w:t>
      </w:r>
      <w:r>
        <w:rPr>
          <w:rFonts w:hint="eastAsia"/>
          <w:szCs w:val="32"/>
          <w:lang w:eastAsia="zh-CN"/>
        </w:rPr>
        <w:t>北</w:t>
      </w:r>
      <w:r>
        <w:rPr>
          <w:rFonts w:hint="eastAsia"/>
          <w:kern w:val="0"/>
          <w:szCs w:val="32"/>
          <w:lang w:eastAsia="zh-CN"/>
        </w:rPr>
        <w:t>京市西城区人民政府广安门内街道办事处</w:t>
      </w:r>
      <w:bookmarkStart w:id="0" w:name="_GoBack"/>
      <w:bookmarkEnd w:id="0"/>
    </w:p>
    <w:p>
      <w:pPr>
        <w:spacing w:line="560" w:lineRule="exact"/>
        <w:ind w:firstLine="640" w:firstLineChars="200"/>
        <w:jc w:val="left"/>
        <w:rPr>
          <w:rFonts w:hint="eastAsia"/>
          <w:szCs w:val="32"/>
        </w:rPr>
      </w:pPr>
    </w:p>
    <w:p>
      <w:pPr>
        <w:spacing w:line="560" w:lineRule="exact"/>
        <w:ind w:firstLine="640" w:firstLineChars="200"/>
        <w:jc w:val="left"/>
        <w:rPr>
          <w:rFonts w:hint="eastAsia"/>
          <w:szCs w:val="32"/>
        </w:rPr>
      </w:pPr>
    </w:p>
    <w:p>
      <w:pPr>
        <w:spacing w:line="560" w:lineRule="exact"/>
        <w:ind w:firstLine="640" w:firstLineChars="200"/>
        <w:jc w:val="left"/>
        <w:rPr>
          <w:rFonts w:hint="eastAsia"/>
          <w:szCs w:val="32"/>
        </w:rPr>
      </w:pPr>
    </w:p>
    <w:p>
      <w:pPr>
        <w:spacing w:line="560" w:lineRule="exact"/>
        <w:ind w:firstLine="640" w:firstLineChars="200"/>
        <w:jc w:val="left"/>
        <w:rPr>
          <w:rFonts w:hint="eastAsia"/>
          <w:szCs w:val="32"/>
        </w:rPr>
      </w:pPr>
    </w:p>
    <w:sectPr>
      <w:footerReference r:id="rId3" w:type="default"/>
      <w:footerReference r:id="rId4" w:type="even"/>
      <w:pgSz w:w="11906" w:h="16838"/>
      <w:pgMar w:top="2098" w:right="1474" w:bottom="1985" w:left="1588" w:header="851" w:footer="992"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9448811"/>
      <w:docPartObj>
        <w:docPartGallery w:val="autotext"/>
      </w:docPartObj>
    </w:sdtPr>
    <w:sdtEndPr>
      <w:rPr>
        <w:sz w:val="28"/>
        <w:szCs w:val="28"/>
      </w:rPr>
    </w:sdtEndPr>
    <w:sdtContent>
      <w:p>
        <w:pPr>
          <w:pStyle w:val="5"/>
          <w:jc w:val="right"/>
          <w:rPr>
            <w:sz w:val="28"/>
            <w:szCs w:val="28"/>
          </w:rPr>
        </w:pPr>
        <w:r>
          <w:rPr>
            <w:sz w:val="28"/>
            <w:szCs w:val="28"/>
          </w:rPr>
          <w:t>—</w:t>
        </w: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9</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sz w:val="28"/>
            <w:szCs w:val="28"/>
          </w:rPr>
          <w:t>—</w:t>
        </w:r>
      </w:p>
    </w:sdtContent>
  </w:sdt>
  <w:p>
    <w:pPr>
      <w:pStyle w:val="5"/>
      <w:wordWrap w:val="0"/>
      <w:ind w:right="9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szCs w:val="28"/>
      </w:rPr>
      <w:t>—</w:t>
    </w: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sz w:val="28"/>
        <w:szCs w:val="28"/>
      </w:rPr>
      <w:t>—</w:t>
    </w:r>
  </w:p>
  <w:p>
    <w:pPr>
      <w:pStyle w:val="5"/>
    </w:pPr>
    <w:sdt>
      <w:sdtPr>
        <w:id w:val="9448802"/>
        <w:docPartObj>
          <w:docPartGallery w:val="autotext"/>
        </w:docPartObj>
      </w:sdtPr>
      <w:sdtEndPr>
        <w:rPr>
          <w:rFonts w:asciiTheme="majorEastAsia" w:hAnsiTheme="majorEastAsia" w:eastAsiaTheme="majorEastAsia"/>
          <w:sz w:val="28"/>
          <w:szCs w:val="28"/>
        </w:rPr>
      </w:sdtEndPr>
      <w:sdtContent>
        <w:r>
          <w:rPr>
            <w:rFonts w:hint="eastAsia"/>
            <w:sz w:val="32"/>
            <w:szCs w:val="32"/>
          </w:rPr>
          <w:t>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DEA8B2"/>
    <w:multiLevelType w:val="singleLevel"/>
    <w:tmpl w:val="D8DEA8B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dit="readOnly" w:enforcement="0"/>
  <w:defaultTabStop w:val="420"/>
  <w:doNotHyphenateCaps/>
  <w:evenAndOddHeaders w:val="1"/>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A5"/>
    <w:rsid w:val="000008A5"/>
    <w:rsid w:val="00011B4A"/>
    <w:rsid w:val="00014BC6"/>
    <w:rsid w:val="00026B53"/>
    <w:rsid w:val="0003321C"/>
    <w:rsid w:val="00033905"/>
    <w:rsid w:val="00034133"/>
    <w:rsid w:val="000464FD"/>
    <w:rsid w:val="0004753C"/>
    <w:rsid w:val="00054615"/>
    <w:rsid w:val="00054C6C"/>
    <w:rsid w:val="00060563"/>
    <w:rsid w:val="000609BC"/>
    <w:rsid w:val="00063434"/>
    <w:rsid w:val="00064762"/>
    <w:rsid w:val="00081592"/>
    <w:rsid w:val="00087906"/>
    <w:rsid w:val="000A0525"/>
    <w:rsid w:val="000A3D40"/>
    <w:rsid w:val="000A3E19"/>
    <w:rsid w:val="000A641D"/>
    <w:rsid w:val="000A7E02"/>
    <w:rsid w:val="000B093E"/>
    <w:rsid w:val="000B34A4"/>
    <w:rsid w:val="000B66A2"/>
    <w:rsid w:val="000D12BD"/>
    <w:rsid w:val="000D39AC"/>
    <w:rsid w:val="000E057C"/>
    <w:rsid w:val="000E09FD"/>
    <w:rsid w:val="000E14C6"/>
    <w:rsid w:val="000E46C6"/>
    <w:rsid w:val="000F7D45"/>
    <w:rsid w:val="000F7DC6"/>
    <w:rsid w:val="00106CD7"/>
    <w:rsid w:val="0013080B"/>
    <w:rsid w:val="0014019E"/>
    <w:rsid w:val="001419C4"/>
    <w:rsid w:val="00150FD1"/>
    <w:rsid w:val="00157231"/>
    <w:rsid w:val="001660CB"/>
    <w:rsid w:val="00175587"/>
    <w:rsid w:val="00182567"/>
    <w:rsid w:val="00183194"/>
    <w:rsid w:val="00197955"/>
    <w:rsid w:val="001A0CFC"/>
    <w:rsid w:val="001A0F89"/>
    <w:rsid w:val="001A1511"/>
    <w:rsid w:val="001B0118"/>
    <w:rsid w:val="001B3709"/>
    <w:rsid w:val="001B7298"/>
    <w:rsid w:val="001C3D60"/>
    <w:rsid w:val="001C49BD"/>
    <w:rsid w:val="001C5F44"/>
    <w:rsid w:val="001D43F1"/>
    <w:rsid w:val="001D72EA"/>
    <w:rsid w:val="001E6A48"/>
    <w:rsid w:val="001F491E"/>
    <w:rsid w:val="001F62D4"/>
    <w:rsid w:val="001F788C"/>
    <w:rsid w:val="00205F6B"/>
    <w:rsid w:val="00206748"/>
    <w:rsid w:val="002111E6"/>
    <w:rsid w:val="00216EDE"/>
    <w:rsid w:val="0022291D"/>
    <w:rsid w:val="00230230"/>
    <w:rsid w:val="002322B7"/>
    <w:rsid w:val="00233BD2"/>
    <w:rsid w:val="00253E29"/>
    <w:rsid w:val="00255CF4"/>
    <w:rsid w:val="00257391"/>
    <w:rsid w:val="0025746E"/>
    <w:rsid w:val="00261A2C"/>
    <w:rsid w:val="0026213E"/>
    <w:rsid w:val="00263531"/>
    <w:rsid w:val="00266048"/>
    <w:rsid w:val="00272A20"/>
    <w:rsid w:val="00274B17"/>
    <w:rsid w:val="00281DC5"/>
    <w:rsid w:val="00283E45"/>
    <w:rsid w:val="00294730"/>
    <w:rsid w:val="002A09A9"/>
    <w:rsid w:val="002A2039"/>
    <w:rsid w:val="002A45F7"/>
    <w:rsid w:val="002C1913"/>
    <w:rsid w:val="002C439B"/>
    <w:rsid w:val="002C5D51"/>
    <w:rsid w:val="002D02A9"/>
    <w:rsid w:val="002D1AA0"/>
    <w:rsid w:val="002D5323"/>
    <w:rsid w:val="002E02D5"/>
    <w:rsid w:val="002E5572"/>
    <w:rsid w:val="002F1366"/>
    <w:rsid w:val="002F374C"/>
    <w:rsid w:val="00306E45"/>
    <w:rsid w:val="00323A15"/>
    <w:rsid w:val="00330632"/>
    <w:rsid w:val="00333209"/>
    <w:rsid w:val="00333B6F"/>
    <w:rsid w:val="00344AC9"/>
    <w:rsid w:val="003515C2"/>
    <w:rsid w:val="0035290D"/>
    <w:rsid w:val="00354830"/>
    <w:rsid w:val="0035493D"/>
    <w:rsid w:val="00354D23"/>
    <w:rsid w:val="0035512D"/>
    <w:rsid w:val="00355615"/>
    <w:rsid w:val="00362131"/>
    <w:rsid w:val="00363C56"/>
    <w:rsid w:val="00365C02"/>
    <w:rsid w:val="00380069"/>
    <w:rsid w:val="00382D40"/>
    <w:rsid w:val="00383718"/>
    <w:rsid w:val="003875F2"/>
    <w:rsid w:val="003940C1"/>
    <w:rsid w:val="003A406F"/>
    <w:rsid w:val="003A57C5"/>
    <w:rsid w:val="003A5EE7"/>
    <w:rsid w:val="003A6112"/>
    <w:rsid w:val="003A705E"/>
    <w:rsid w:val="003D48EF"/>
    <w:rsid w:val="003D7D16"/>
    <w:rsid w:val="003E24AF"/>
    <w:rsid w:val="003E3546"/>
    <w:rsid w:val="003E41D3"/>
    <w:rsid w:val="003E553F"/>
    <w:rsid w:val="00405015"/>
    <w:rsid w:val="00407470"/>
    <w:rsid w:val="00410839"/>
    <w:rsid w:val="00411FCA"/>
    <w:rsid w:val="0042192A"/>
    <w:rsid w:val="00427B79"/>
    <w:rsid w:val="004315EC"/>
    <w:rsid w:val="004376DF"/>
    <w:rsid w:val="00441432"/>
    <w:rsid w:val="004423BD"/>
    <w:rsid w:val="00446ECA"/>
    <w:rsid w:val="00451738"/>
    <w:rsid w:val="004556BC"/>
    <w:rsid w:val="00455FF4"/>
    <w:rsid w:val="00474F33"/>
    <w:rsid w:val="00476A70"/>
    <w:rsid w:val="00480869"/>
    <w:rsid w:val="0048595F"/>
    <w:rsid w:val="004874D3"/>
    <w:rsid w:val="004B23DA"/>
    <w:rsid w:val="004B6753"/>
    <w:rsid w:val="004C1111"/>
    <w:rsid w:val="004D131E"/>
    <w:rsid w:val="004D230C"/>
    <w:rsid w:val="004D4E7A"/>
    <w:rsid w:val="004D4EA0"/>
    <w:rsid w:val="004F1364"/>
    <w:rsid w:val="004F2131"/>
    <w:rsid w:val="004F53C5"/>
    <w:rsid w:val="004F7A96"/>
    <w:rsid w:val="004F7B0E"/>
    <w:rsid w:val="00500E36"/>
    <w:rsid w:val="00503BA4"/>
    <w:rsid w:val="00507507"/>
    <w:rsid w:val="00515214"/>
    <w:rsid w:val="00526DEA"/>
    <w:rsid w:val="00531C4F"/>
    <w:rsid w:val="0053262E"/>
    <w:rsid w:val="00533A7C"/>
    <w:rsid w:val="00534A91"/>
    <w:rsid w:val="005618AE"/>
    <w:rsid w:val="00562B30"/>
    <w:rsid w:val="00575F1E"/>
    <w:rsid w:val="005819A8"/>
    <w:rsid w:val="00581D2E"/>
    <w:rsid w:val="005841D6"/>
    <w:rsid w:val="00587229"/>
    <w:rsid w:val="005A262D"/>
    <w:rsid w:val="005B37FB"/>
    <w:rsid w:val="005C04E4"/>
    <w:rsid w:val="005C5C04"/>
    <w:rsid w:val="005D23F2"/>
    <w:rsid w:val="005D6396"/>
    <w:rsid w:val="005E1B69"/>
    <w:rsid w:val="005E7CEA"/>
    <w:rsid w:val="005F0EBE"/>
    <w:rsid w:val="005F2EC1"/>
    <w:rsid w:val="005F3384"/>
    <w:rsid w:val="005F494F"/>
    <w:rsid w:val="005F7E68"/>
    <w:rsid w:val="006032AD"/>
    <w:rsid w:val="00622C98"/>
    <w:rsid w:val="00624B4E"/>
    <w:rsid w:val="00630736"/>
    <w:rsid w:val="006317EB"/>
    <w:rsid w:val="0064094E"/>
    <w:rsid w:val="00640D41"/>
    <w:rsid w:val="0064715D"/>
    <w:rsid w:val="00650CE8"/>
    <w:rsid w:val="0065154F"/>
    <w:rsid w:val="006518C4"/>
    <w:rsid w:val="00663275"/>
    <w:rsid w:val="00663E96"/>
    <w:rsid w:val="0066492D"/>
    <w:rsid w:val="006667EC"/>
    <w:rsid w:val="006670C7"/>
    <w:rsid w:val="006802A3"/>
    <w:rsid w:val="0068384F"/>
    <w:rsid w:val="006850E7"/>
    <w:rsid w:val="006862BC"/>
    <w:rsid w:val="00687141"/>
    <w:rsid w:val="00691744"/>
    <w:rsid w:val="006943AF"/>
    <w:rsid w:val="006A0650"/>
    <w:rsid w:val="006A083B"/>
    <w:rsid w:val="006A5CEB"/>
    <w:rsid w:val="006A7B73"/>
    <w:rsid w:val="006C252D"/>
    <w:rsid w:val="006C5A7B"/>
    <w:rsid w:val="006C7BBB"/>
    <w:rsid w:val="006D067A"/>
    <w:rsid w:val="006D07E6"/>
    <w:rsid w:val="006D45FE"/>
    <w:rsid w:val="006D7EAD"/>
    <w:rsid w:val="006E4B6B"/>
    <w:rsid w:val="006E55F3"/>
    <w:rsid w:val="006F2B17"/>
    <w:rsid w:val="006F4D3C"/>
    <w:rsid w:val="006F5F39"/>
    <w:rsid w:val="00704388"/>
    <w:rsid w:val="0071455F"/>
    <w:rsid w:val="00714EA9"/>
    <w:rsid w:val="00715856"/>
    <w:rsid w:val="007168FB"/>
    <w:rsid w:val="00721E62"/>
    <w:rsid w:val="00726E63"/>
    <w:rsid w:val="00741C58"/>
    <w:rsid w:val="007443F1"/>
    <w:rsid w:val="00747094"/>
    <w:rsid w:val="00751035"/>
    <w:rsid w:val="0076188B"/>
    <w:rsid w:val="00762E8E"/>
    <w:rsid w:val="007677A1"/>
    <w:rsid w:val="00770A96"/>
    <w:rsid w:val="00774CEE"/>
    <w:rsid w:val="00780B1C"/>
    <w:rsid w:val="00784A98"/>
    <w:rsid w:val="00784D59"/>
    <w:rsid w:val="00785C41"/>
    <w:rsid w:val="00797703"/>
    <w:rsid w:val="007A4959"/>
    <w:rsid w:val="007A4FDB"/>
    <w:rsid w:val="007B2BC7"/>
    <w:rsid w:val="007B7779"/>
    <w:rsid w:val="007C1D28"/>
    <w:rsid w:val="007E200B"/>
    <w:rsid w:val="007E343F"/>
    <w:rsid w:val="007F11E1"/>
    <w:rsid w:val="007F6810"/>
    <w:rsid w:val="008049EC"/>
    <w:rsid w:val="00824E42"/>
    <w:rsid w:val="00831AC8"/>
    <w:rsid w:val="00833BA0"/>
    <w:rsid w:val="00836ABE"/>
    <w:rsid w:val="00840C83"/>
    <w:rsid w:val="00847E5E"/>
    <w:rsid w:val="00850879"/>
    <w:rsid w:val="00853F2A"/>
    <w:rsid w:val="008743EA"/>
    <w:rsid w:val="0089668D"/>
    <w:rsid w:val="008A1300"/>
    <w:rsid w:val="008A2B91"/>
    <w:rsid w:val="008B0FB4"/>
    <w:rsid w:val="008B1A7B"/>
    <w:rsid w:val="008B763E"/>
    <w:rsid w:val="008C523E"/>
    <w:rsid w:val="008E6BE6"/>
    <w:rsid w:val="008F00A5"/>
    <w:rsid w:val="008F3DE1"/>
    <w:rsid w:val="009022A4"/>
    <w:rsid w:val="00904834"/>
    <w:rsid w:val="0090551A"/>
    <w:rsid w:val="009068D4"/>
    <w:rsid w:val="00907CE4"/>
    <w:rsid w:val="00910CDD"/>
    <w:rsid w:val="0093125F"/>
    <w:rsid w:val="00935C15"/>
    <w:rsid w:val="009373AF"/>
    <w:rsid w:val="009412FE"/>
    <w:rsid w:val="0094180A"/>
    <w:rsid w:val="00945C8B"/>
    <w:rsid w:val="00946F88"/>
    <w:rsid w:val="00953B97"/>
    <w:rsid w:val="009541FD"/>
    <w:rsid w:val="009543E9"/>
    <w:rsid w:val="0095554A"/>
    <w:rsid w:val="0095688F"/>
    <w:rsid w:val="009706E4"/>
    <w:rsid w:val="00983E45"/>
    <w:rsid w:val="00984079"/>
    <w:rsid w:val="009A0095"/>
    <w:rsid w:val="009A0C09"/>
    <w:rsid w:val="009A2B31"/>
    <w:rsid w:val="009A6CE5"/>
    <w:rsid w:val="009B2169"/>
    <w:rsid w:val="009B4B2E"/>
    <w:rsid w:val="009B6715"/>
    <w:rsid w:val="009D0C8D"/>
    <w:rsid w:val="009D0DB2"/>
    <w:rsid w:val="009D25AE"/>
    <w:rsid w:val="009D38AF"/>
    <w:rsid w:val="009D6443"/>
    <w:rsid w:val="009E49CF"/>
    <w:rsid w:val="009F47C9"/>
    <w:rsid w:val="009F6948"/>
    <w:rsid w:val="009F75A6"/>
    <w:rsid w:val="00A14EFF"/>
    <w:rsid w:val="00A176B1"/>
    <w:rsid w:val="00A17FA4"/>
    <w:rsid w:val="00A23948"/>
    <w:rsid w:val="00A25AC1"/>
    <w:rsid w:val="00A41454"/>
    <w:rsid w:val="00A46CC3"/>
    <w:rsid w:val="00A56BF7"/>
    <w:rsid w:val="00A578F1"/>
    <w:rsid w:val="00A61971"/>
    <w:rsid w:val="00A62D82"/>
    <w:rsid w:val="00A75175"/>
    <w:rsid w:val="00A764FD"/>
    <w:rsid w:val="00A8068F"/>
    <w:rsid w:val="00A821E2"/>
    <w:rsid w:val="00A82E13"/>
    <w:rsid w:val="00A850AD"/>
    <w:rsid w:val="00A870D3"/>
    <w:rsid w:val="00A90217"/>
    <w:rsid w:val="00A91794"/>
    <w:rsid w:val="00A92B46"/>
    <w:rsid w:val="00AA0EAD"/>
    <w:rsid w:val="00AA1F2A"/>
    <w:rsid w:val="00AA271C"/>
    <w:rsid w:val="00AA5755"/>
    <w:rsid w:val="00AC3512"/>
    <w:rsid w:val="00AE251E"/>
    <w:rsid w:val="00AE6C85"/>
    <w:rsid w:val="00AE7FB4"/>
    <w:rsid w:val="00AF67ED"/>
    <w:rsid w:val="00B126F5"/>
    <w:rsid w:val="00B1450F"/>
    <w:rsid w:val="00B1650B"/>
    <w:rsid w:val="00B22021"/>
    <w:rsid w:val="00B23C59"/>
    <w:rsid w:val="00B45004"/>
    <w:rsid w:val="00B457C1"/>
    <w:rsid w:val="00B54203"/>
    <w:rsid w:val="00B6361D"/>
    <w:rsid w:val="00B64969"/>
    <w:rsid w:val="00B67122"/>
    <w:rsid w:val="00B71D7F"/>
    <w:rsid w:val="00B82EF6"/>
    <w:rsid w:val="00B92FE4"/>
    <w:rsid w:val="00B93C21"/>
    <w:rsid w:val="00B94A99"/>
    <w:rsid w:val="00B94AEA"/>
    <w:rsid w:val="00BA3746"/>
    <w:rsid w:val="00BA5DB3"/>
    <w:rsid w:val="00BB0CD5"/>
    <w:rsid w:val="00BB1826"/>
    <w:rsid w:val="00BB40D2"/>
    <w:rsid w:val="00BD51BE"/>
    <w:rsid w:val="00BD7EB4"/>
    <w:rsid w:val="00BE43E1"/>
    <w:rsid w:val="00BE5041"/>
    <w:rsid w:val="00BE6129"/>
    <w:rsid w:val="00BE622E"/>
    <w:rsid w:val="00BE69E0"/>
    <w:rsid w:val="00BF0D41"/>
    <w:rsid w:val="00C0242B"/>
    <w:rsid w:val="00C04AC9"/>
    <w:rsid w:val="00C062FA"/>
    <w:rsid w:val="00C06F59"/>
    <w:rsid w:val="00C4226A"/>
    <w:rsid w:val="00C577F7"/>
    <w:rsid w:val="00C643E5"/>
    <w:rsid w:val="00C64CAD"/>
    <w:rsid w:val="00C80C46"/>
    <w:rsid w:val="00C91BF2"/>
    <w:rsid w:val="00CA7C11"/>
    <w:rsid w:val="00CB4A5C"/>
    <w:rsid w:val="00CD626D"/>
    <w:rsid w:val="00D10A4A"/>
    <w:rsid w:val="00D20FFD"/>
    <w:rsid w:val="00D343F2"/>
    <w:rsid w:val="00D3651A"/>
    <w:rsid w:val="00D37945"/>
    <w:rsid w:val="00D515F9"/>
    <w:rsid w:val="00D5236E"/>
    <w:rsid w:val="00D55DD9"/>
    <w:rsid w:val="00D57299"/>
    <w:rsid w:val="00D6450E"/>
    <w:rsid w:val="00D65438"/>
    <w:rsid w:val="00D95429"/>
    <w:rsid w:val="00DA5F9E"/>
    <w:rsid w:val="00DC614A"/>
    <w:rsid w:val="00DD757D"/>
    <w:rsid w:val="00DE0F1B"/>
    <w:rsid w:val="00DE6CF5"/>
    <w:rsid w:val="00DF27E3"/>
    <w:rsid w:val="00DF4B28"/>
    <w:rsid w:val="00E074E8"/>
    <w:rsid w:val="00E17912"/>
    <w:rsid w:val="00E17E62"/>
    <w:rsid w:val="00E204DB"/>
    <w:rsid w:val="00E24E2C"/>
    <w:rsid w:val="00E374A6"/>
    <w:rsid w:val="00E54BBC"/>
    <w:rsid w:val="00E60DB3"/>
    <w:rsid w:val="00E650AE"/>
    <w:rsid w:val="00E74624"/>
    <w:rsid w:val="00E750BB"/>
    <w:rsid w:val="00E76BF6"/>
    <w:rsid w:val="00E80E10"/>
    <w:rsid w:val="00E84748"/>
    <w:rsid w:val="00E914C1"/>
    <w:rsid w:val="00E94A8A"/>
    <w:rsid w:val="00E95202"/>
    <w:rsid w:val="00EA4062"/>
    <w:rsid w:val="00EC0DE7"/>
    <w:rsid w:val="00ED1FD9"/>
    <w:rsid w:val="00ED47AC"/>
    <w:rsid w:val="00EE2934"/>
    <w:rsid w:val="00EE2E26"/>
    <w:rsid w:val="00EE6C16"/>
    <w:rsid w:val="00EF155F"/>
    <w:rsid w:val="00F021A6"/>
    <w:rsid w:val="00F048CE"/>
    <w:rsid w:val="00F04A59"/>
    <w:rsid w:val="00F07F0E"/>
    <w:rsid w:val="00F1259C"/>
    <w:rsid w:val="00F16C61"/>
    <w:rsid w:val="00F27FE4"/>
    <w:rsid w:val="00F35433"/>
    <w:rsid w:val="00F455BB"/>
    <w:rsid w:val="00F46AE4"/>
    <w:rsid w:val="00F574CE"/>
    <w:rsid w:val="00F57777"/>
    <w:rsid w:val="00F602EF"/>
    <w:rsid w:val="00F61106"/>
    <w:rsid w:val="00F6213D"/>
    <w:rsid w:val="00F728B4"/>
    <w:rsid w:val="00F83D69"/>
    <w:rsid w:val="00F94529"/>
    <w:rsid w:val="00FA17F5"/>
    <w:rsid w:val="00FA4DC7"/>
    <w:rsid w:val="00FC27F4"/>
    <w:rsid w:val="00FE1E8A"/>
    <w:rsid w:val="00FE4EF6"/>
    <w:rsid w:val="00FF253A"/>
    <w:rsid w:val="06907E10"/>
    <w:rsid w:val="06B94B93"/>
    <w:rsid w:val="06C12FCB"/>
    <w:rsid w:val="09515D54"/>
    <w:rsid w:val="0C2F7EC1"/>
    <w:rsid w:val="0D0B523B"/>
    <w:rsid w:val="0F6B5ACE"/>
    <w:rsid w:val="102C1BBC"/>
    <w:rsid w:val="12F405F3"/>
    <w:rsid w:val="16EE6007"/>
    <w:rsid w:val="17311BFB"/>
    <w:rsid w:val="1D9531B6"/>
    <w:rsid w:val="1F6F6D90"/>
    <w:rsid w:val="20431B29"/>
    <w:rsid w:val="2C285A13"/>
    <w:rsid w:val="2F25545F"/>
    <w:rsid w:val="309824B7"/>
    <w:rsid w:val="33CD2A64"/>
    <w:rsid w:val="34F236C7"/>
    <w:rsid w:val="353246E7"/>
    <w:rsid w:val="36B25046"/>
    <w:rsid w:val="36BB06AC"/>
    <w:rsid w:val="3A213925"/>
    <w:rsid w:val="3A2E54DE"/>
    <w:rsid w:val="3A2F5E4D"/>
    <w:rsid w:val="49E41E1A"/>
    <w:rsid w:val="49FA4430"/>
    <w:rsid w:val="4C152561"/>
    <w:rsid w:val="4CD65D89"/>
    <w:rsid w:val="4E586EFE"/>
    <w:rsid w:val="57A84E28"/>
    <w:rsid w:val="5A68250F"/>
    <w:rsid w:val="5AD50A05"/>
    <w:rsid w:val="60913C61"/>
    <w:rsid w:val="61AA42C9"/>
    <w:rsid w:val="64B2765A"/>
    <w:rsid w:val="67EA444E"/>
    <w:rsid w:val="6E6120D5"/>
    <w:rsid w:val="6EDD4411"/>
    <w:rsid w:val="728E157C"/>
    <w:rsid w:val="72D82E71"/>
    <w:rsid w:val="741B1C79"/>
    <w:rsid w:val="759C382F"/>
    <w:rsid w:val="7A984E43"/>
    <w:rsid w:val="7FD44038"/>
    <w:rsid w:val="7FDE56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1"/>
      <w:lang w:val="en-US" w:eastAsia="zh-CN" w:bidi="ar-SA"/>
    </w:rPr>
  </w:style>
  <w:style w:type="paragraph" w:styleId="2">
    <w:name w:val="heading 1"/>
    <w:basedOn w:val="1"/>
    <w:next w:val="1"/>
    <w:link w:val="18"/>
    <w:qFormat/>
    <w:locked/>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rPr>
      <w:rFonts w:ascii="Times New Roman" w:eastAsia="宋体"/>
      <w:sz w:val="21"/>
      <w:szCs w:val="24"/>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日期 Char"/>
    <w:basedOn w:val="11"/>
    <w:link w:val="3"/>
    <w:semiHidden/>
    <w:qFormat/>
    <w:locked/>
    <w:uiPriority w:val="99"/>
    <w:rPr>
      <w:rFonts w:cs="Times New Roman"/>
      <w:sz w:val="21"/>
      <w:szCs w:val="21"/>
    </w:rPr>
  </w:style>
  <w:style w:type="character" w:customStyle="1" w:styleId="13">
    <w:name w:val="批注框文本 Char"/>
    <w:basedOn w:val="11"/>
    <w:link w:val="4"/>
    <w:semiHidden/>
    <w:qFormat/>
    <w:locked/>
    <w:uiPriority w:val="99"/>
    <w:rPr>
      <w:rFonts w:cs="Times New Roman"/>
      <w:sz w:val="2"/>
    </w:rPr>
  </w:style>
  <w:style w:type="character" w:customStyle="1" w:styleId="14">
    <w:name w:val="页眉 Char"/>
    <w:basedOn w:val="11"/>
    <w:link w:val="6"/>
    <w:qFormat/>
    <w:locked/>
    <w:uiPriority w:val="99"/>
    <w:rPr>
      <w:rFonts w:cs="Times New Roman"/>
      <w:kern w:val="2"/>
      <w:sz w:val="18"/>
      <w:szCs w:val="18"/>
    </w:rPr>
  </w:style>
  <w:style w:type="character" w:customStyle="1" w:styleId="15">
    <w:name w:val="页脚 Char"/>
    <w:basedOn w:val="11"/>
    <w:link w:val="5"/>
    <w:qFormat/>
    <w:locked/>
    <w:uiPriority w:val="99"/>
    <w:rPr>
      <w:rFonts w:cs="Times New Roman"/>
      <w:kern w:val="2"/>
      <w:sz w:val="18"/>
      <w:szCs w:val="18"/>
    </w:rPr>
  </w:style>
  <w:style w:type="character" w:customStyle="1" w:styleId="16">
    <w:name w:val="正文文本 2 Char"/>
    <w:basedOn w:val="11"/>
    <w:link w:val="7"/>
    <w:qFormat/>
    <w:uiPriority w:val="0"/>
    <w:rPr>
      <w:kern w:val="2"/>
      <w:sz w:val="21"/>
      <w:szCs w:val="24"/>
    </w:rPr>
  </w:style>
  <w:style w:type="paragraph" w:customStyle="1" w:styleId="17">
    <w:name w:val="p0"/>
    <w:basedOn w:val="1"/>
    <w:qFormat/>
    <w:uiPriority w:val="0"/>
    <w:pPr>
      <w:widowControl/>
    </w:pPr>
    <w:rPr>
      <w:rFonts w:ascii="Times New Roman" w:eastAsia="宋体"/>
      <w:kern w:val="0"/>
      <w:sz w:val="21"/>
    </w:rPr>
  </w:style>
  <w:style w:type="character" w:customStyle="1" w:styleId="18">
    <w:name w:val="标题 1 Char"/>
    <w:basedOn w:val="11"/>
    <w:link w:val="2"/>
    <w:qFormat/>
    <w:uiPriority w:val="0"/>
    <w:rPr>
      <w:rFonts w:ascii="宋体" w:hAnsi="宋体" w:cs="宋体"/>
      <w:b/>
      <w:bCs/>
      <w:kern w:val="36"/>
      <w:sz w:val="48"/>
      <w:szCs w:val="48"/>
    </w:rPr>
  </w:style>
  <w:style w:type="paragraph" w:customStyle="1" w:styleId="19">
    <w:name w:val="Char Char Char Char"/>
    <w:basedOn w:val="1"/>
    <w:qFormat/>
    <w:uiPriority w:val="0"/>
    <w:rPr>
      <w:rFonts w:ascii="Verdana" w:hAnsi="Verdana"/>
      <w:b/>
      <w:kern w:val="0"/>
      <w:sz w:val="24"/>
      <w:szCs w:val="24"/>
      <w:lang w:eastAsia="en-US"/>
    </w:rPr>
  </w:style>
  <w:style w:type="paragraph" w:customStyle="1" w:styleId="20">
    <w:name w:val="Char Char Char Char1"/>
    <w:basedOn w:val="1"/>
    <w:qFormat/>
    <w:uiPriority w:val="0"/>
    <w:rPr>
      <w:rFonts w:ascii="Verdana" w:hAnsi="Verdana"/>
      <w:b/>
      <w:kern w:val="0"/>
      <w:sz w:val="24"/>
      <w:szCs w:val="24"/>
      <w:lang w:eastAsia="en-US"/>
    </w:rPr>
  </w:style>
  <w:style w:type="paragraph" w:customStyle="1" w:styleId="21">
    <w:name w:val="列出段落1"/>
    <w:basedOn w:val="1"/>
    <w:qFormat/>
    <w:uiPriority w:val="34"/>
    <w:pPr>
      <w:ind w:firstLine="420" w:firstLineChars="200"/>
    </w:pPr>
    <w:rPr>
      <w:rFonts w:ascii="Calibri" w:hAnsi="Calibri" w:eastAsia="宋体"/>
      <w:sz w:val="21"/>
      <w:szCs w:val="24"/>
    </w:rPr>
  </w:style>
  <w:style w:type="paragraph" w:customStyle="1" w:styleId="22">
    <w:name w:val="List Paragraph_7a6585ee-f55b-469a-b906-6b93bd11f62e"/>
    <w:basedOn w:val="1"/>
    <w:qFormat/>
    <w:uiPriority w:val="0"/>
    <w:pPr>
      <w:ind w:firstLine="420" w:firstLineChars="200"/>
    </w:pPr>
    <w:rPr>
      <w:rFonts w:ascii="Calibri" w:hAnsi="Calibri" w:eastAsia="PMingLiU"/>
      <w:sz w:val="21"/>
      <w:szCs w:val="24"/>
    </w:rPr>
  </w:style>
  <w:style w:type="paragraph" w:customStyle="1" w:styleId="23">
    <w:name w:val="Char Char Char Char2"/>
    <w:basedOn w:val="1"/>
    <w:qFormat/>
    <w:uiPriority w:val="0"/>
    <w:rPr>
      <w:rFonts w:ascii="Verdana" w:hAnsi="Verdana"/>
      <w:b/>
      <w:kern w:val="0"/>
      <w:sz w:val="24"/>
      <w:szCs w:val="24"/>
      <w:lang w:eastAsia="en-US"/>
    </w:rPr>
  </w:style>
  <w:style w:type="paragraph" w:customStyle="1" w:styleId="24">
    <w:name w:val="列出段落2"/>
    <w:basedOn w:val="1"/>
    <w:qFormat/>
    <w:uiPriority w:val="34"/>
    <w:pPr>
      <w:ind w:firstLine="420" w:firstLineChars="200"/>
    </w:pPr>
    <w:rPr>
      <w:rFonts w:ascii="Calibri" w:hAnsi="Calibri" w:eastAsia="宋体"/>
      <w:sz w:val="21"/>
      <w:szCs w:val="24"/>
    </w:rPr>
  </w:style>
  <w:style w:type="paragraph" w:customStyle="1" w:styleId="25">
    <w:name w:val="Char Char Char Char3"/>
    <w:basedOn w:val="1"/>
    <w:qFormat/>
    <w:uiPriority w:val="0"/>
    <w:rPr>
      <w:rFonts w:ascii="Verdana" w:hAnsi="Verdana"/>
      <w:b/>
      <w:kern w:val="0"/>
      <w:sz w:val="24"/>
      <w:szCs w:val="24"/>
      <w:lang w:eastAsia="en-US"/>
    </w:rPr>
  </w:style>
  <w:style w:type="paragraph" w:customStyle="1" w:styleId="26">
    <w:name w:val="Char Char Char Char4"/>
    <w:basedOn w:val="1"/>
    <w:qFormat/>
    <w:uiPriority w:val="0"/>
    <w:rPr>
      <w:rFonts w:ascii="Verdana" w:hAnsi="Verdana"/>
      <w:b/>
      <w:kern w:val="0"/>
      <w:sz w:val="24"/>
      <w:szCs w:val="24"/>
      <w:lang w:eastAsia="en-US"/>
    </w:rPr>
  </w:style>
  <w:style w:type="paragraph" w:customStyle="1" w:styleId="27">
    <w:name w:val="Char Char Char Char5"/>
    <w:basedOn w:val="1"/>
    <w:qFormat/>
    <w:uiPriority w:val="0"/>
    <w:rPr>
      <w:rFonts w:ascii="Verdana" w:hAnsi="Verdana"/>
      <w:b/>
      <w:kern w:val="0"/>
      <w:sz w:val="24"/>
      <w:szCs w:val="24"/>
      <w:lang w:eastAsia="en-US"/>
    </w:rPr>
  </w:style>
  <w:style w:type="paragraph" w:customStyle="1" w:styleId="28">
    <w:name w:val="Char Char Char Char6"/>
    <w:basedOn w:val="1"/>
    <w:qFormat/>
    <w:uiPriority w:val="0"/>
    <w:rPr>
      <w:rFonts w:ascii="Verdana" w:hAnsi="Verdana"/>
      <w:b/>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4AFDC-B788-4273-ADEF-E11EA31BBD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875</Words>
  <Characters>4989</Characters>
  <Lines>41</Lines>
  <Paragraphs>11</Paragraphs>
  <TotalTime>27</TotalTime>
  <ScaleCrop>false</ScaleCrop>
  <LinksUpToDate>false</LinksUpToDate>
  <CharactersWithSpaces>5853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2020-12-29T03:21:00Z</dcterms:created>
  <dc:creator>微软用户</dc:creator>
  <cp:lastModifiedBy>a</cp:lastModifiedBy>
  <cp:lastPrinted>2021-12-17T03:41:00Z</cp:lastPrinted>
  <dcterms:modified xsi:type="dcterms:W3CDTF">2022-02-28T03:14:39Z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