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促进金融街高质量发展</w:t>
      </w:r>
      <w:r>
        <w:rPr>
          <w:rFonts w:hint="eastAsia" w:ascii="方正小标宋简体" w:hAnsi="方正小标宋简体" w:eastAsia="方正小标宋简体" w:cs="方正小标宋简体"/>
          <w:bCs/>
          <w:color w:val="000000"/>
          <w:sz w:val="44"/>
          <w:szCs w:val="44"/>
          <w:lang w:val="en-US" w:eastAsia="zh-CN"/>
        </w:rPr>
        <w:t>建设</w:t>
      </w:r>
      <w:r>
        <w:rPr>
          <w:rFonts w:hint="eastAsia" w:ascii="方正小标宋简体" w:hAnsi="方正小标宋简体" w:eastAsia="方正小标宋简体" w:cs="方正小标宋简体"/>
          <w:bCs/>
          <w:color w:val="000000"/>
          <w:sz w:val="44"/>
          <w:szCs w:val="44"/>
        </w:rPr>
        <w:t>三年行动方案（2022-2024年）</w:t>
      </w:r>
    </w:p>
    <w:p>
      <w:pPr>
        <w:pageBreakBefore w:val="0"/>
        <w:widowControl w:val="0"/>
        <w:kinsoku/>
        <w:wordWrap/>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征求意见稿</w:t>
      </w:r>
      <w:r>
        <w:rPr>
          <w:rFonts w:hint="eastAsia" w:ascii="方正小标宋简体" w:hAnsi="方正小标宋简体" w:eastAsia="方正小标宋简体" w:cs="方正小标宋简体"/>
          <w:sz w:val="32"/>
          <w:szCs w:val="32"/>
          <w:lang w:eastAsia="zh-CN"/>
        </w:rPr>
        <w:t>）</w:t>
      </w:r>
    </w:p>
    <w:p>
      <w:pPr>
        <w:pStyle w:val="2"/>
        <w:rPr>
          <w:rFonts w:hint="eastAsia"/>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为深入贯彻落实党中央、国务院关于深化北京市新一轮服务业扩大开放综合试点、建设国家服务业扩大开放综合示范区的重大决策部署和《北京城市总体规划（2016年-2035年）》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首都功能核心区控制性详细规划（街区层面）（2018年-2035年）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更好立足新发展阶段、贯彻新发展理念、融入新发展格局，高水平服务国家金融管理中心发展，落实北京“五子”联动战略部署，为首都高质量发展贡献力量，根据市领导联系服务“两区”重点园区（组团）工作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促进“两区”重点园区（组团）发展提升专项行动方案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《西城区“十四五”时期金融业发展规划》等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相关要求</w:t>
      </w:r>
      <w:r>
        <w:rPr>
          <w:rFonts w:hint="eastAsia" w:ascii="仿宋_GB2312" w:hAnsi="仿宋_GB2312" w:eastAsia="仿宋_GB2312" w:cs="仿宋_GB2312"/>
          <w:color w:val="000000" w:themeColor="text1"/>
          <w:sz w:val="32"/>
          <w:szCs w:val="32"/>
          <w14:textFill>
            <w14:solidFill>
              <w14:schemeClr w14:val="tx1"/>
            </w14:solidFill>
          </w14:textFill>
        </w:rPr>
        <w:t>，结合金融街实际，制定本方案。</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以习近平新时代中国特色社会主义思想为指导，全面贯彻落实党的十九大和十九届历次全会精神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深入贯彻</w:t>
      </w:r>
      <w:r>
        <w:rPr>
          <w:rFonts w:hint="eastAsia" w:ascii="仿宋_GB2312" w:hAnsi="仿宋_GB2312" w:eastAsia="仿宋_GB2312" w:cs="仿宋_GB2312"/>
          <w:color w:val="000000" w:themeColor="text1"/>
          <w:sz w:val="32"/>
          <w:szCs w:val="32"/>
          <w14:textFill>
            <w14:solidFill>
              <w14:schemeClr w14:val="tx1"/>
            </w14:solidFill>
          </w14:textFill>
        </w:rPr>
        <w:t>习近平总书记对北京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系列</w:t>
      </w:r>
      <w:r>
        <w:rPr>
          <w:rFonts w:hint="eastAsia" w:ascii="仿宋_GB2312" w:hAnsi="仿宋_GB2312" w:eastAsia="仿宋_GB2312" w:cs="仿宋_GB2312"/>
          <w:color w:val="000000" w:themeColor="text1"/>
          <w:sz w:val="32"/>
          <w:szCs w:val="32"/>
          <w14:textFill>
            <w14:solidFill>
              <w14:schemeClr w14:val="tx1"/>
            </w14:solidFill>
          </w14:textFill>
        </w:rPr>
        <w:t>重要讲话精神，紧密围绕金融街国家金融管理中心功能定位，抓住“两区”“三平台”建设与北京证券交易所（以下简称“北交所”）设立重大机遇，全面提升新时代金融街高质量发展水平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国际影响力，为首都“两区”建设和金融业高质量健康发展作出更大的贡献。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二、发展目标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紧抓</w:t>
      </w:r>
      <w:r>
        <w:rPr>
          <w:rFonts w:hint="eastAsia" w:ascii="仿宋_GB2312" w:hAnsi="仿宋_GB2312" w:eastAsia="仿宋_GB2312" w:cs="仿宋_GB2312"/>
          <w:color w:val="000000" w:themeColor="text1"/>
          <w:sz w:val="32"/>
          <w:szCs w:val="32"/>
          <w14:textFill>
            <w14:solidFill>
              <w14:schemeClr w14:val="tx1"/>
            </w14:solidFill>
          </w14:textFill>
        </w:rPr>
        <w:t>“两区”建设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机遇</w:t>
      </w:r>
      <w:r>
        <w:rPr>
          <w:rFonts w:hint="eastAsia" w:ascii="仿宋_GB2312" w:hAnsi="仿宋_GB2312" w:eastAsia="仿宋_GB2312" w:cs="仿宋_GB2312"/>
          <w:color w:val="000000" w:themeColor="text1"/>
          <w:sz w:val="32"/>
          <w:szCs w:val="32"/>
          <w14:textFill>
            <w14:solidFill>
              <w14:schemeClr w14:val="tx1"/>
            </w14:solidFill>
          </w14:textFill>
        </w:rPr>
        <w:t>，对标国际一流，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推动金融街创新发展、开放发展、联动发展和融合发展。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持续提升国家金融管理中心服务能级。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深化落实“四位一体”服务体制改革，推动“双管家”服务更加规范高效，高水平举办金融街论坛，持续发挥“四个平台”作用，提升论坛国际影响力，全力打造最具全球影响力的金融外交活动品牌。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持续提升金融街发展能级。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服务国家现代金融监管体系建设更加完备，持续保障金融基础设施建设发展，支持深化新三板改革，服务北交所发展，打造资产管理高地和金融科技高地。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持续提升金融街开放发展水平。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发挥金融开放示范引领作用，全面落地“两区”建设政策及创新制度，争取金融开放政策先行先试，吸引国际重点金融机构落地发展，面向全球引进金融领军人才，为国家金融管理中心发展注入新动能。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具体目标如下：</w:t>
      </w:r>
    </w:p>
    <w:p>
      <w:pPr>
        <w:pStyle w:val="2"/>
        <w:ind w:left="0" w:leftChars="0" w:right="23" w:rightChars="11"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完善提升“四位一体”服务体制，增强服务队伍素质建设，提升区域服务能力。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——国家金融管理中心能力进一步强化。</w:t>
      </w:r>
      <w:r>
        <w:rPr>
          <w:rFonts w:hint="eastAsia" w:ascii="仿宋_GB2312" w:hAnsi="仿宋_GB2312" w:eastAsia="仿宋_GB2312" w:cs="仿宋_GB2312"/>
          <w:color w:val="000000" w:themeColor="text1"/>
          <w:sz w:val="32"/>
          <w:szCs w:val="32"/>
          <w14:textFill>
            <w14:solidFill>
              <w14:schemeClr w14:val="tx1"/>
            </w14:solidFill>
          </w14:textFill>
        </w:rPr>
        <w:t>进一步提升服务国家重大战略能力，显著增强国际交往能力，国家金融管理中心的国际影响力与日俱增，逐步完善金融机构体系、金融市场体系和金融基础设施。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——金融市场功能更加完善。</w:t>
      </w:r>
      <w:r>
        <w:rPr>
          <w:rFonts w:hint="eastAsia" w:ascii="仿宋_GB2312" w:hAnsi="仿宋_GB2312" w:eastAsia="仿宋_GB2312" w:cs="仿宋_GB2312"/>
          <w:color w:val="000000" w:themeColor="text1"/>
          <w:sz w:val="32"/>
          <w:szCs w:val="32"/>
          <w14:textFill>
            <w14:solidFill>
              <w14:schemeClr w14:val="tx1"/>
            </w14:solidFill>
          </w14:textFill>
        </w:rPr>
        <w:t>深化新三板改革，高水平服务北交所打造服务创新型中小企业主阵地，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培育支持一批创新型中小企业在新三板挂牌、北交所上市。</w:t>
      </w:r>
      <w:r>
        <w:rPr>
          <w:rFonts w:hint="eastAsia" w:ascii="仿宋_GB2312" w:hAnsi="仿宋_GB2312" w:eastAsia="仿宋_GB2312" w:cs="仿宋_GB2312"/>
          <w:color w:val="000000" w:themeColor="text1"/>
          <w:sz w:val="32"/>
          <w:szCs w:val="32"/>
          <w14:textFill>
            <w14:solidFill>
              <w14:schemeClr w14:val="tx1"/>
            </w14:solidFill>
          </w14:textFill>
        </w:rPr>
        <w:t>助力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北交所</w:t>
      </w:r>
      <w:r>
        <w:rPr>
          <w:rFonts w:hint="eastAsia" w:ascii="仿宋_GB2312" w:hAnsi="仿宋_GB2312" w:eastAsia="仿宋_GB2312" w:cs="仿宋_GB2312"/>
          <w:color w:val="000000" w:themeColor="text1"/>
          <w:sz w:val="32"/>
          <w:szCs w:val="32"/>
          <w14:textFill>
            <w14:solidFill>
              <w14:schemeClr w14:val="tx1"/>
            </w14:solidFill>
          </w14:textFill>
        </w:rPr>
        <w:t>承载能力提升，吸引集聚各类资本市场主体和业态在区域布局发展，壮大机构投资者规模。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——金融发展活力不断增强。</w:t>
      </w:r>
      <w:r>
        <w:rPr>
          <w:rFonts w:hint="eastAsia" w:ascii="仿宋_GB2312" w:hAnsi="仿宋_GB2312" w:eastAsia="仿宋_GB2312" w:cs="仿宋_GB2312"/>
          <w:color w:val="000000" w:themeColor="text1"/>
          <w:sz w:val="32"/>
          <w:szCs w:val="32"/>
          <w14:textFill>
            <w14:solidFill>
              <w14:schemeClr w14:val="tx1"/>
            </w14:solidFill>
          </w14:textFill>
        </w:rPr>
        <w:t>力争提前完成“十四五”时期引进国内外重点金融机构不少于100家目标。服务实体经济提质增效，提高直接融资比重和上市公司质量。高水平举办金融街论坛，持续提升论坛国际影响力。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——双向开放水平显著提升。</w:t>
      </w:r>
      <w:r>
        <w:rPr>
          <w:rFonts w:hint="eastAsia" w:ascii="仿宋_GB2312" w:hAnsi="仿宋_GB2312" w:eastAsia="仿宋_GB2312" w:cs="仿宋_GB2312"/>
          <w:color w:val="000000" w:themeColor="text1"/>
          <w:sz w:val="32"/>
          <w:szCs w:val="32"/>
          <w14:textFill>
            <w14:solidFill>
              <w14:schemeClr w14:val="tx1"/>
            </w14:solidFill>
          </w14:textFill>
        </w:rPr>
        <w:t>充分释放“两区”“三平台”建设政策叠加优势，推动一批具有标志性意义的重要外资金融机构落地，拓展金融街国际“朋友圈”，与世界主要金融中心全面建立稳固持久的友好合作关系。不断深化“一带一路”先行区建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——资产管理高地加快构筑。</w:t>
      </w:r>
      <w:r>
        <w:rPr>
          <w:rFonts w:hint="eastAsia" w:ascii="仿宋_GB2312" w:hAnsi="仿宋_GB2312" w:eastAsia="仿宋_GB2312" w:cs="仿宋_GB2312"/>
          <w:color w:val="000000" w:themeColor="text1"/>
          <w:sz w:val="32"/>
          <w:szCs w:val="32"/>
          <w14:textFill>
            <w14:solidFill>
              <w14:schemeClr w14:val="tx1"/>
            </w14:solidFill>
          </w14:textFill>
        </w:rPr>
        <w:t>完善资产管理产业链条，做强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财富管理</w:t>
      </w:r>
      <w:r>
        <w:rPr>
          <w:rFonts w:hint="eastAsia" w:ascii="仿宋_GB2312" w:hAnsi="仿宋_GB2312" w:eastAsia="仿宋_GB2312" w:cs="仿宋_GB2312"/>
          <w:color w:val="000000" w:themeColor="text1"/>
          <w:sz w:val="32"/>
          <w:szCs w:val="32"/>
          <w14:textFill>
            <w14:solidFill>
              <w14:schemeClr w14:val="tx1"/>
            </w14:solidFill>
          </w14:textFill>
        </w:rPr>
        <w:t>基础服务设施。培育多元化资产管理机构，支持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银行</w:t>
      </w:r>
      <w:r>
        <w:rPr>
          <w:rFonts w:hint="eastAsia" w:ascii="仿宋_GB2312" w:hAnsi="仿宋_GB2312" w:eastAsia="仿宋_GB2312" w:cs="仿宋_GB2312"/>
          <w:color w:val="000000" w:themeColor="text1"/>
          <w:sz w:val="32"/>
          <w:szCs w:val="32"/>
          <w14:textFill>
            <w14:solidFill>
              <w14:schemeClr w14:val="tx1"/>
            </w14:solidFill>
          </w14:textFill>
        </w:rPr>
        <w:t>理财子公司、信托公司、证券公司、基金公司、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保险资管公司等</w:t>
      </w:r>
      <w:r>
        <w:rPr>
          <w:rFonts w:hint="eastAsia" w:ascii="仿宋_GB2312" w:hAnsi="仿宋_GB2312" w:eastAsia="仿宋_GB2312" w:cs="仿宋_GB2312"/>
          <w:color w:val="000000" w:themeColor="text1"/>
          <w:sz w:val="32"/>
          <w:szCs w:val="32"/>
          <w14:textFill>
            <w14:solidFill>
              <w14:schemeClr w14:val="tx1"/>
            </w14:solidFill>
          </w14:textFill>
        </w:rPr>
        <w:t>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w:t>
      </w:r>
      <w:r>
        <w:rPr>
          <w:rFonts w:hint="eastAsia" w:ascii="仿宋_GB2312" w:hAnsi="仿宋_GB2312" w:eastAsia="仿宋_GB2312" w:cs="仿宋_GB2312"/>
          <w:color w:val="000000" w:themeColor="text1"/>
          <w:sz w:val="32"/>
          <w:szCs w:val="32"/>
          <w14:textFill>
            <w14:solidFill>
              <w14:schemeClr w14:val="tx1"/>
            </w14:solidFill>
          </w14:textFill>
        </w:rPr>
        <w:t>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——金融科技高地更加凸显。</w:t>
      </w:r>
      <w:r>
        <w:rPr>
          <w:rFonts w:hint="eastAsia" w:ascii="仿宋_GB2312" w:hAnsi="仿宋_GB2312" w:eastAsia="仿宋_GB2312" w:cs="仿宋_GB2312"/>
          <w:color w:val="000000" w:themeColor="text1"/>
          <w:sz w:val="32"/>
          <w:szCs w:val="32"/>
          <w14:textFill>
            <w14:solidFill>
              <w14:schemeClr w14:val="tx1"/>
            </w14:solidFill>
          </w14:textFill>
        </w:rPr>
        <w:t>推动金科新区发展成为全球技术研发和应用场景新高地、产业发展增长极、制度标准策源地、顶尖创新人才首选地和金融科技监管体系引领者。争取提前完成全球或全国金融科技头部机构总量不少于20家的目标。年均引进10家以上具有行业影响力的金融科技企业和专业服务机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——金融发展环境持续优化。</w:t>
      </w:r>
      <w:r>
        <w:rPr>
          <w:rFonts w:hint="eastAsia" w:ascii="仿宋_GB2312" w:hAnsi="仿宋_GB2312" w:eastAsia="仿宋_GB2312" w:cs="仿宋_GB2312"/>
          <w:color w:val="000000" w:themeColor="text1"/>
          <w:sz w:val="32"/>
          <w:szCs w:val="32"/>
          <w14:textFill>
            <w14:solidFill>
              <w14:schemeClr w14:val="tx1"/>
            </w14:solidFill>
          </w14:textFill>
        </w:rPr>
        <w:t>金融街街区品质提升专项行动取得阶段性重要成果，金融街楼宇转型升级与资源配置更加科学高效。金融营商环境、法治环境、专业服务环境达到国际一流标准。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zh-CN"/>
        </w:rPr>
      </w:pPr>
      <w:r>
        <w:rPr>
          <w:rFonts w:hint="eastAsia" w:ascii="黑体" w:hAnsi="黑体" w:eastAsia="黑体" w:cs="黑体"/>
          <w:b/>
          <w:bCs/>
          <w:sz w:val="32"/>
          <w:szCs w:val="32"/>
          <w:lang w:val="zh-CN"/>
        </w:rPr>
        <w:t>三、重点任务</w:t>
      </w:r>
    </w:p>
    <w:p>
      <w:pPr>
        <w:pageBreakBefore w:val="0"/>
        <w:widowControl w:val="0"/>
        <w:kinsoku/>
        <w:wordWrap/>
        <w:topLinePunct w:val="0"/>
        <w:autoSpaceDE/>
        <w:autoSpaceDN/>
        <w:bidi w:val="0"/>
        <w:adjustRightInd/>
        <w:snapToGrid w:val="0"/>
        <w:spacing w:line="520" w:lineRule="exact"/>
        <w:ind w:firstLine="640" w:firstLineChars="200"/>
        <w:textAlignment w:val="auto"/>
        <w:rPr>
          <w:rFonts w:hint="eastAsia" w:ascii="楷体_GB2312" w:hAnsi="宋体" w:eastAsia="楷体_GB2312" w:cs="Times New Roman"/>
          <w:sz w:val="32"/>
          <w:szCs w:val="32"/>
          <w:lang w:val="zh-CN" w:eastAsia="zh-CN"/>
        </w:rPr>
      </w:pPr>
      <w:bookmarkStart w:id="0" w:name="_Toc29479"/>
      <w:r>
        <w:rPr>
          <w:rFonts w:hint="eastAsia" w:ascii="楷体_GB2312" w:hAnsi="宋体" w:eastAsia="楷体_GB2312" w:cs="Times New Roman"/>
          <w:sz w:val="32"/>
          <w:szCs w:val="32"/>
          <w:lang w:val="zh-CN" w:eastAsia="zh-CN"/>
        </w:rPr>
        <w:t>（一）</w:t>
      </w:r>
      <w:bookmarkEnd w:id="0"/>
      <w:r>
        <w:rPr>
          <w:rFonts w:hint="eastAsia" w:ascii="楷体_GB2312" w:hAnsi="宋体" w:eastAsia="楷体_GB2312" w:cs="Times New Roman"/>
          <w:sz w:val="32"/>
          <w:szCs w:val="32"/>
          <w:lang w:val="zh-CN" w:eastAsia="zh-CN"/>
        </w:rPr>
        <w:t>聚焦提质增效，创新体制机制，打造“管家服务”标杆园区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1.贯彻跨界共治理念，完善金融街合作发展理事会运行机制，持续扩大理事会“朋友圈”，发挥好金融科技专委会、资产管理专委会作用，筹建国际交往委员会等专委会。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2.加强管家队伍建设，按照市区部署，推进金融街服务局机构改革，加强专业干部配备，进一步理顺服务职责和工作流程，依托</w:t>
      </w:r>
      <w:r>
        <w:rPr>
          <w:rFonts w:hint="eastAsia" w:ascii="仿宋_GB2312" w:eastAsia="仿宋_GB2312"/>
          <w:b w:val="0"/>
          <w:bCs/>
          <w:color w:val="000000" w:themeColor="text1"/>
          <w:sz w:val="32"/>
          <w:szCs w:val="32"/>
          <w14:textFill>
            <w14:solidFill>
              <w14:schemeClr w14:val="tx1"/>
            </w14:solidFill>
          </w14:textFill>
        </w:rPr>
        <w:t>金融街服务中心有限公司</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市场化运营机制，聚集一批市场化人才，为论坛举办、招商引资、专业研究提供人才支撑。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3.发挥好金融街研究院作用，打造金融街智库联盟，为金融街论坛提供学术支撑，进一步提升金融街论坛的专业性、权威性。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4.</w:t>
      </w:r>
      <w:r>
        <w:rPr>
          <w:rFonts w:hint="eastAsia" w:ascii="仿宋_GB2312" w:hAnsi="仿宋" w:eastAsia="仿宋_GB2312" w:cs="仿宋_GB2312"/>
          <w:b w:val="0"/>
          <w:bCs/>
          <w:color w:val="000000" w:themeColor="text1"/>
          <w:sz w:val="32"/>
          <w:szCs w:val="32"/>
          <w14:textFill>
            <w14:solidFill>
              <w14:schemeClr w14:val="tx1"/>
            </w14:solidFill>
          </w14:textFill>
        </w:rPr>
        <w:t>开展“规范服务行动”，</w:t>
      </w:r>
      <w:r>
        <w:rPr>
          <w:rFonts w:hint="eastAsia" w:ascii="仿宋_GB2312" w:hAnsi="仿宋" w:eastAsia="仿宋_GB2312" w:cs="仿宋_GB2312"/>
          <w:color w:val="000000" w:themeColor="text1"/>
          <w:sz w:val="32"/>
          <w:szCs w:val="32"/>
          <w14:textFill>
            <w14:solidFill>
              <w14:schemeClr w14:val="tx1"/>
            </w14:solidFill>
          </w14:textFill>
        </w:rPr>
        <w:t>制定《</w:t>
      </w:r>
      <w:r>
        <w:rPr>
          <w:rFonts w:hint="eastAsia" w:ascii="仿宋_GB2312" w:eastAsia="仿宋_GB2312"/>
          <w:color w:val="000000" w:themeColor="text1"/>
          <w:sz w:val="32"/>
          <w:szCs w:val="32"/>
          <w14:textFill>
            <w14:solidFill>
              <w14:schemeClr w14:val="tx1"/>
            </w14:solidFill>
          </w14:textFill>
        </w:rPr>
        <w:t>双管家行为规范</w:t>
      </w:r>
      <w:r>
        <w:rPr>
          <w:rFonts w:hint="eastAsia" w:ascii="仿宋_GB2312" w:hAnsi="仿宋" w:eastAsia="仿宋_GB2312" w:cs="仿宋_GB2312"/>
          <w:color w:val="000000" w:themeColor="text1"/>
          <w:sz w:val="32"/>
          <w:szCs w:val="32"/>
          <w14:textFill>
            <w14:solidFill>
              <w14:schemeClr w14:val="tx1"/>
            </w14:solidFill>
          </w14:textFill>
        </w:rPr>
        <w:t>》、《双管家服务手册》</w:t>
      </w:r>
      <w:r>
        <w:rPr>
          <w:rFonts w:hint="eastAsia" w:ascii="仿宋_GB2312" w:eastAsia="仿宋_GB2312"/>
          <w:color w:val="000000" w:themeColor="text1"/>
          <w:sz w:val="32"/>
          <w:szCs w:val="32"/>
          <w14:textFill>
            <w14:solidFill>
              <w14:schemeClr w14:val="tx1"/>
            </w14:solidFill>
          </w14:textFill>
        </w:rPr>
        <w:t>。从岗位职责、廉洁规范、工作流程、服务内容等方面</w:t>
      </w:r>
      <w:r>
        <w:rPr>
          <w:rFonts w:hint="eastAsia" w:ascii="仿宋_GB2312" w:eastAsia="仿宋_GB2312"/>
          <w:color w:val="000000" w:themeColor="text1"/>
          <w:sz w:val="32"/>
          <w:szCs w:val="32"/>
          <w:lang w:val="en-US" w:eastAsia="zh-CN"/>
          <w14:textFill>
            <w14:solidFill>
              <w14:schemeClr w14:val="tx1"/>
            </w14:solidFill>
          </w14:textFill>
        </w:rPr>
        <w:t>实现</w:t>
      </w:r>
      <w:r>
        <w:rPr>
          <w:rFonts w:hint="eastAsia" w:ascii="仿宋_GB2312" w:eastAsia="仿宋_GB2312"/>
          <w:color w:val="000000" w:themeColor="text1"/>
          <w:sz w:val="32"/>
          <w:szCs w:val="32"/>
          <w14:textFill>
            <w14:solidFill>
              <w14:schemeClr w14:val="tx1"/>
            </w14:solidFill>
          </w14:textFill>
        </w:rPr>
        <w:t>标准化</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完善双管家团队建设和人员培训考核机制，</w:t>
      </w:r>
      <w:r>
        <w:rPr>
          <w:rFonts w:hint="eastAsia" w:ascii="仿宋_GB2312" w:hAnsi="仿宋_GB2312" w:eastAsia="仿宋_GB2312" w:cs="仿宋_GB2312"/>
          <w:color w:val="000000" w:themeColor="text1"/>
          <w:sz w:val="32"/>
          <w:szCs w:val="32"/>
          <w14:textFill>
            <w14:solidFill>
              <w14:schemeClr w14:val="tx1"/>
            </w14:solidFill>
          </w14:textFill>
        </w:rPr>
        <w:t>持续提高服务规范化、专业化和精细化水平</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宋体" w:eastAsia="仿宋_GB2312" w:cstheme="minorBidi"/>
          <w:b w:val="0"/>
          <w:bCs/>
          <w:color w:val="000000" w:themeColor="text1"/>
          <w:kern w:val="2"/>
          <w:sz w:val="32"/>
          <w:szCs w:val="32"/>
          <w:lang w:val="en-US" w:eastAsia="zh-CN" w:bidi="ar-SA"/>
          <w14:textFill>
            <w14:solidFill>
              <w14:schemeClr w14:val="tx1"/>
            </w14:solidFill>
          </w14:textFill>
        </w:rPr>
        <w:t>5.</w:t>
      </w:r>
      <w:r>
        <w:rPr>
          <w:rFonts w:hint="eastAsia" w:ascii="仿宋_GB2312" w:hAnsi="仿宋" w:eastAsia="仿宋_GB2312" w:cs="仿宋_GB2312"/>
          <w:b w:val="0"/>
          <w:bCs w:val="0"/>
          <w:color w:val="000000" w:themeColor="text1"/>
          <w:sz w:val="32"/>
          <w:szCs w:val="32"/>
          <w14:textFill>
            <w14:solidFill>
              <w14:schemeClr w14:val="tx1"/>
            </w14:solidFill>
          </w14:textFill>
        </w:rPr>
        <w:t>创新服务内容和服务模式，</w:t>
      </w:r>
      <w:r>
        <w:rPr>
          <w:rFonts w:hint="eastAsia" w:ascii="仿宋_GB2312" w:hAnsi="仿宋" w:eastAsia="仿宋_GB2312" w:cs="仿宋_GB2312"/>
          <w:color w:val="000000" w:themeColor="text1"/>
          <w:sz w:val="32"/>
          <w:szCs w:val="32"/>
          <w14:textFill>
            <w14:solidFill>
              <w14:schemeClr w14:val="tx1"/>
            </w14:solidFill>
          </w14:textFill>
        </w:rPr>
        <w:t>推动政府延伸服务市场化。整合各领域优质社会资源，拓展多领域多层次服务种类。开发</w:t>
      </w:r>
      <w:r>
        <w:rPr>
          <w:rFonts w:hint="eastAsia" w:ascii="仿宋_GB2312" w:hAnsi="仿宋" w:eastAsia="仿宋_GB2312" w:cs="仿宋_GB2312"/>
          <w:color w:val="000000" w:themeColor="text1"/>
          <w:sz w:val="32"/>
          <w:szCs w:val="32"/>
          <w:lang w:val="en-US" w:eastAsia="zh-CN"/>
          <w14:textFill>
            <w14:solidFill>
              <w14:schemeClr w14:val="tx1"/>
            </w14:solidFill>
          </w14:textFill>
        </w:rPr>
        <w:t>企业类、人才类</w:t>
      </w:r>
      <w:r>
        <w:rPr>
          <w:rFonts w:hint="eastAsia" w:ascii="仿宋_GB2312" w:hAnsi="仿宋" w:eastAsia="仿宋_GB2312" w:cs="仿宋_GB2312"/>
          <w:color w:val="000000" w:themeColor="text1"/>
          <w:sz w:val="32"/>
          <w:szCs w:val="32"/>
          <w14:textFill>
            <w14:solidFill>
              <w14:schemeClr w14:val="tx1"/>
            </w14:solidFill>
          </w14:textFill>
        </w:rPr>
        <w:t>“服务包”产品，满足驻区机构多样化、个性化的服务需求，形成区域内部产业融合促进的高效循环。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eastAsia="仿宋_GB2312"/>
          <w:b w:val="0"/>
          <w:bCs/>
          <w:color w:val="000000" w:themeColor="text1"/>
          <w:sz w:val="32"/>
          <w:szCs w:val="32"/>
          <w:lang w:val="en-US" w:eastAsia="zh-CN"/>
          <w14:textFill>
            <w14:solidFill>
              <w14:schemeClr w14:val="tx1"/>
            </w14:solidFill>
          </w14:textFill>
        </w:rPr>
      </w:pPr>
      <w:r>
        <w:rPr>
          <w:rFonts w:hint="eastAsia" w:ascii="仿宋_GB2312" w:eastAsia="仿宋_GB2312"/>
          <w:b w:val="0"/>
          <w:bCs/>
          <w:color w:val="000000" w:themeColor="text1"/>
          <w:sz w:val="32"/>
          <w:szCs w:val="32"/>
          <w:lang w:val="en-US" w:eastAsia="zh-CN"/>
          <w14:textFill>
            <w14:solidFill>
              <w14:schemeClr w14:val="tx1"/>
            </w14:solidFill>
          </w14:textFill>
        </w:rPr>
        <w:t>6.</w:t>
      </w:r>
      <w:r>
        <w:rPr>
          <w:rFonts w:hint="eastAsia" w:ascii="仿宋_GB2312" w:eastAsia="仿宋_GB2312"/>
          <w:b w:val="0"/>
          <w:bCs/>
          <w:color w:val="000000" w:themeColor="text1"/>
          <w:sz w:val="32"/>
          <w:szCs w:val="32"/>
          <w14:textFill>
            <w14:solidFill>
              <w14:schemeClr w14:val="tx1"/>
            </w14:solidFill>
          </w14:textFill>
        </w:rPr>
        <w:t>构建协同服务网络，打造“一站式服务”体系。</w:t>
      </w:r>
      <w:r>
        <w:rPr>
          <w:rFonts w:hint="eastAsia" w:ascii="仿宋_GB2312" w:eastAsia="仿宋_GB2312"/>
          <w:b w:val="0"/>
          <w:bCs/>
          <w:color w:val="000000" w:themeColor="text1"/>
          <w:sz w:val="32"/>
          <w:szCs w:val="32"/>
          <w:lang w:val="en-US" w:eastAsia="zh-CN"/>
          <w14:textFill>
            <w14:solidFill>
              <w14:schemeClr w14:val="tx1"/>
            </w14:solidFill>
          </w14:textFill>
        </w:rPr>
        <w:t>加强部门</w:t>
      </w:r>
      <w:r>
        <w:rPr>
          <w:rFonts w:hint="eastAsia" w:ascii="仿宋_GB2312" w:eastAsia="仿宋_GB2312"/>
          <w:b w:val="0"/>
          <w:bCs/>
          <w:color w:val="000000" w:themeColor="text1"/>
          <w:sz w:val="32"/>
          <w:szCs w:val="32"/>
          <w14:textFill>
            <w14:solidFill>
              <w14:schemeClr w14:val="tx1"/>
            </w14:solidFill>
          </w14:textFill>
        </w:rPr>
        <w:t>协同，为辖区内机构和拟引进机构提供全流程综合服务绿通方案，协助机构快速办理注册选址、指导开办业务、协助核名申请、资料网登等，不断吸引更多机构落户金融街。</w:t>
      </w:r>
      <w:r>
        <w:rPr>
          <w:rFonts w:hint="eastAsia" w:ascii="仿宋_GB2312" w:eastAsia="仿宋_GB2312"/>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7.开展加强国家金融管理中心建设课题研究。制定出台西城区服务国家金融管理中心建设意见，推动金融街高质量发展。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8.发挥西城区产业政策体系优势。在资金奖励、空间资源、人才引进等方面对产业项目给予支持，整合建立面向金融、金融科技的招商引资政策服务包。构建具有竞争力的政策体系，修订《北京市西城区加快现代金融产业发展的若干意见》、《北京市西城区鼓励和支持企业上市发展办法》等政策，出台“金科十条”2.0版。紧抓北交所设立运行机遇，落实《西城区关于服务北京证券交易所发展和促进创新型中小企业在北京证券交易所上市的若干措施（试行）》。</w:t>
      </w:r>
    </w:p>
    <w:p>
      <w:pPr>
        <w:pageBreakBefore w:val="0"/>
        <w:widowControl w:val="0"/>
        <w:kinsoku/>
        <w:wordWrap/>
        <w:topLinePunct w:val="0"/>
        <w:autoSpaceDE/>
        <w:autoSpaceDN/>
        <w:bidi w:val="0"/>
        <w:adjustRightInd/>
        <w:snapToGrid w:val="0"/>
        <w:spacing w:line="520" w:lineRule="exact"/>
        <w:ind w:firstLine="640" w:firstLineChars="200"/>
        <w:textAlignment w:val="auto"/>
        <w:rPr>
          <w:rFonts w:hint="eastAsia" w:ascii="楷体_GB2312" w:hAnsi="宋体" w:eastAsia="楷体_GB2312" w:cs="Times New Roman"/>
          <w:sz w:val="32"/>
          <w:szCs w:val="32"/>
          <w:lang w:val="zh-CN" w:eastAsia="zh-CN"/>
        </w:rPr>
      </w:pPr>
      <w:r>
        <w:rPr>
          <w:rFonts w:hint="eastAsia" w:ascii="楷体_GB2312" w:hAnsi="宋体" w:eastAsia="楷体_GB2312" w:cs="Times New Roman"/>
          <w:sz w:val="32"/>
          <w:szCs w:val="32"/>
          <w:lang w:val="zh-CN" w:eastAsia="zh-CN"/>
        </w:rPr>
        <w:t>（</w:t>
      </w:r>
      <w:r>
        <w:rPr>
          <w:rFonts w:hint="eastAsia" w:ascii="楷体_GB2312" w:hAnsi="宋体" w:eastAsia="楷体_GB2312" w:cs="Times New Roman"/>
          <w:sz w:val="32"/>
          <w:szCs w:val="32"/>
          <w:lang w:val="en-US" w:eastAsia="zh-CN"/>
        </w:rPr>
        <w:t>二</w:t>
      </w:r>
      <w:r>
        <w:rPr>
          <w:rFonts w:hint="eastAsia" w:ascii="楷体_GB2312" w:hAnsi="宋体" w:eastAsia="楷体_GB2312" w:cs="Times New Roman"/>
          <w:sz w:val="32"/>
          <w:szCs w:val="32"/>
          <w:lang w:val="zh-CN" w:eastAsia="zh-CN"/>
        </w:rPr>
        <w:t>）紧抓战略机遇，完善产业生态，打造“</w:t>
      </w:r>
      <w:r>
        <w:rPr>
          <w:rFonts w:hint="eastAsia" w:ascii="楷体_GB2312" w:hAnsi="宋体" w:eastAsia="楷体_GB2312" w:cs="Times New Roman"/>
          <w:sz w:val="32"/>
          <w:szCs w:val="32"/>
          <w:lang w:val="en-US" w:eastAsia="zh-CN"/>
        </w:rPr>
        <w:t>高质量</w:t>
      </w:r>
      <w:r>
        <w:rPr>
          <w:rFonts w:hint="eastAsia" w:ascii="楷体_GB2312" w:hAnsi="宋体" w:eastAsia="楷体_GB2312" w:cs="Times New Roman"/>
          <w:sz w:val="32"/>
          <w:szCs w:val="32"/>
          <w:lang w:val="zh-CN" w:eastAsia="zh-CN"/>
        </w:rPr>
        <w:t>发展”标杆园区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继续办好全球系统重要性金融机构会议，服务金融监管部门参与国际金融治理多边合作、金融监管双边合作。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支持全国性金融行业协会开展金融标准领域国际交流合作，支持全国金融标准化技术委员会发展，服务国际国内金融标准制定和实施。支持国家金融科技风险监控中心和国家金融基础数据库建设，服务金融科技创新监管向纵深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围绕支付清算、登记托管、发行管理、资产交易、数据管理等关键环节，积极承接国家重要金融基础设施落地，支持现有金融基础设施提升科技功能，持续保障金融基础设施建设发展。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12.服务北交所发挥产业发展引擎功能，鼓励证券公司、</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保险公司、</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期货公司、公募基金、银行理财子公司、信托公司、资产管理公司等各类</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持牌</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机构发展。支持优质的风投机构、创投机构、产业基金、私募基金等各类机构发展。服务北交所发挥专业领域协同功能，引进全球一流的法律、会计、审计、信用评级、知识产权、咨询、人力资源管理等领域高端专业服务机构，加强金融专业服务供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13.服务北交所发挥资本市场功能。深化新三板改革，支持北交所在金融街稳定发展、做大做强，打造服务创新型中小企业主阵地，发挥“龙头”撬动和“反哺”作用，扩大企业上市规模，激发资本市场活力，不断提升资本市场更好服务构建新发展格局、推动高质量发展、服务创新型中小企业的功能。</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加快构筑资产管理产业高地</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引进多元化资产管理机构</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，积极构建集融资、投资、运作、管理于一体，涵盖银行、证券、保险、基金、信托、</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期货</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等领域的资产管理体系。</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做强财富管理基础服务设施，发挥专业辐射功能，促进资产管理要素集聚。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持续打造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金融科技产业高地。</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依托国家级金融科技示范区建设,增强金融科技发展优势。积极争取</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头部</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金融科技企业落地，</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服务国家金融科技创新监管，配合开展金融科技创新监管试点，积极引导机构创新研发，拓展金融科技场景应用。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推动更高水平金融开放合作。</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引进一批具有标志性意义的重要外资金融机构，主动承接“两区”创新政策试点，充分对接国际金融资源，重点推进金融市场开放、人民币国际化、资本跨境流动、投融资便利化等金融开放政策在金融街先行先试，不断提升产业开放发展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17.扩大招商引资辐射面，走出去开展招商推介。借助金融街论坛等活动，</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积极</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宣传介绍金融街营商环境、政策创新和开放成果，展现金融街承接国家金融开放任务的优势。搭建立体多元化招商推介网络，充分发挥西城区友城优势，前往上海、广州、深圳等地拓展“朋友圈”，加深与当地总部机构合作沟通。金融街服务中心有限公司发挥前哨作用，探索在国内金融中心城市设立异地联络站，走出去开展产业链精准招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18.提升招商引资专业化水平，借助第三方力量合作招商。加强与行业协会、国际知名咨询机构、律师事务所、会计师事务所等专业服务机构的合作，拓宽和创新合作方式，发挥行业协会的会员资源优势和咨询类机构专业服务优势，聚集一批专业化、市场化招商团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19.拓展国际招商视野，加强同国际主要金融城市交流合作。发挥金融街合作发展理事会国际合作专委会作用，强化与国际金融中心的国际交往和常态交流；加强与国际金融组织的联络沟通，扩大金融街品牌影响力，提升金融街国际化招商水平</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将组织外资交流活动与“两区”项目落地工作密切结合，聚焦新兴领域，强化信息捕捉，推动成果转化与承接落地工作。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细化招商工作管理，推进工作规范化和清单化。采用“六单”管理模式，即政策清单、空间资源清单、目标企业清单、企业诉求清单、政策建议清单、政策及项目收获清单，推动政策和项目更好落地。发挥金融街服务中心有限公司市场开发服务与政务延伸服务功能，建立市场化运作机制和考核激励机制。</w:t>
      </w:r>
    </w:p>
    <w:p>
      <w:pPr>
        <w:pageBreakBefore w:val="0"/>
        <w:widowControl w:val="0"/>
        <w:kinsoku/>
        <w:wordWrap/>
        <w:topLinePunct w:val="0"/>
        <w:autoSpaceDE/>
        <w:autoSpaceDN/>
        <w:bidi w:val="0"/>
        <w:adjustRightInd/>
        <w:snapToGrid w:val="0"/>
        <w:spacing w:line="520" w:lineRule="exact"/>
        <w:ind w:firstLine="640" w:firstLineChars="200"/>
        <w:textAlignment w:val="auto"/>
        <w:rPr>
          <w:rFonts w:hint="eastAsia" w:ascii="楷体_GB2312" w:hAnsi="宋体" w:eastAsia="楷体_GB2312" w:cs="Times New Roman"/>
          <w:sz w:val="32"/>
          <w:szCs w:val="32"/>
          <w:lang w:val="zh-CN" w:eastAsia="zh-CN"/>
        </w:rPr>
      </w:pPr>
      <w:r>
        <w:rPr>
          <w:rFonts w:hint="eastAsia" w:ascii="楷体_GB2312" w:hAnsi="宋体" w:eastAsia="楷体_GB2312" w:cs="Times New Roman"/>
          <w:sz w:val="32"/>
          <w:szCs w:val="32"/>
          <w:lang w:val="zh-CN" w:eastAsia="zh-CN"/>
        </w:rPr>
        <w:t>（</w:t>
      </w:r>
      <w:r>
        <w:rPr>
          <w:rFonts w:hint="eastAsia" w:ascii="楷体_GB2312" w:hAnsi="宋体" w:eastAsia="楷体_GB2312" w:cs="Times New Roman"/>
          <w:sz w:val="32"/>
          <w:szCs w:val="32"/>
          <w:lang w:val="en-US" w:eastAsia="zh-CN"/>
        </w:rPr>
        <w:t>三</w:t>
      </w:r>
      <w:r>
        <w:rPr>
          <w:rFonts w:hint="eastAsia" w:ascii="楷体_GB2312" w:hAnsi="宋体" w:eastAsia="楷体_GB2312" w:cs="Times New Roman"/>
          <w:sz w:val="32"/>
          <w:szCs w:val="32"/>
          <w:lang w:val="zh-CN" w:eastAsia="zh-CN"/>
        </w:rPr>
        <w:t>）立足全球定位，发挥平台优势，打造“品牌影响”标杆园区</w:t>
      </w:r>
    </w:p>
    <w:p>
      <w:pPr>
        <w:pStyle w:val="12"/>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outlineLvl w:val="1"/>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21.</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持续提升论坛年会影响力。进一步提升论坛组织水平，不断强化“四个平台”定位功能。深化主题议题策划专业性、前沿性和引导性，优化论坛组织形式，探索开设境内境外分会场，加强与国际国内金融城市交流互鉴，进一步提升外籍嘉宾规格和质量，加大实体经济领域嘉宾的邀请力度，进一步提升论坛年会国际化程度，凸显金融服务实体经济使命。</w:t>
      </w:r>
    </w:p>
    <w:p>
      <w:pPr>
        <w:pStyle w:val="12"/>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outlineLvl w:val="1"/>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22.</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落实常态化办会机制。深化落实“一主+N分+多沙龙”的论坛框架体系。依托论坛年会资源</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和</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“四位一体”</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服务</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机制，在高水平举办论坛年会同时，积极办好系列活动，根据更加突出国际化、更加突出立足全国、更加突出金融服务实体本质等统一定位，围绕经济金融领域最新重点热点，不断丰富合作办会形式，深化讨论交流，实现全年持续发声。</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outlineLvl w:val="1"/>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23.</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举办金融街建设与发展30年大会与特别活动。与论坛年会深度融合，大会与2022金融街论坛年会开幕式同期合并举办，总结30年辉煌成就，特别是党的十八大以来，金融街服务金融改革发展的担当作为，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进一步</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凝聚各方共识，坚定发展信心，</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投身新时期中国金融改革开放发展，以昂扬的姿态迎接二十大的胜利召开。</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outlineLvl w:val="1"/>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24.</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举办金融街建设与发展30年主题展览、人物访谈活动。集中展示金融街在建设国家金融管理中心、服务国家金融改革开放、实体经济高质量发展、民生保障等方面的担当与作为。邀请金融街建设与发展的参与者、见证者、关注者共同回顾金融街建设发展历程，分享金融街在服务国家金融改革开放中的成功经验，为进一步推动金融街高质量发展、促进金融业深化改革</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建言献策</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outlineLvl w:val="1"/>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25.</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举办金融街系列</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文体</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活动。结合30年主题，围绕论坛年会，引导联合驻区单位组织开展多元特色活动，组织调动文化、商业、艺术、科技等要素资源，增强驻区机构和从业人员的参与感、互动感和主人翁意识，进一步激发街区发展活力，促进金融与文商旅良性互动融合发展。</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outlineLvl w:val="1"/>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26.与各类媒体开展深度合作</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发挥</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新华社</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作为金融街论坛年会主办单位作用</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，拓展金融信息综合服务的合作深度；积极深化与央视、北京电视台以及主要财经媒体的深度合作，</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扩大金融街新媒体“朋友圈”，</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建立完善的全媒体宣传矩阵。</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outlineLvl w:val="1"/>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27.提升对外宣传影响力。</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发挥好金融街发布平台作用，依托新华财经“金融街发布”及其英文版频道，日常发布金融街大事要事及信息动态，将其打造为汇聚中国金融改革发展的权威声音和业界动态的信息高地。依托专业机构资源服务，探索通过国际社交媒体，以世界主要语言在欧、美、亚、大洋洲等多个国家和地区发出金融街声音。</w:t>
      </w:r>
    </w:p>
    <w:p>
      <w:pPr>
        <w:pageBreakBefore w:val="0"/>
        <w:widowControl w:val="0"/>
        <w:kinsoku/>
        <w:wordWrap/>
        <w:topLinePunct w:val="0"/>
        <w:autoSpaceDE/>
        <w:autoSpaceDN/>
        <w:bidi w:val="0"/>
        <w:adjustRightInd/>
        <w:snapToGrid w:val="0"/>
        <w:spacing w:line="520" w:lineRule="exact"/>
        <w:ind w:firstLine="640" w:firstLineChars="200"/>
        <w:textAlignment w:val="auto"/>
        <w:rPr>
          <w:rFonts w:hint="eastAsia" w:ascii="楷体_GB2312" w:hAnsi="宋体" w:eastAsia="楷体_GB2312" w:cs="Times New Roman"/>
          <w:sz w:val="32"/>
          <w:szCs w:val="32"/>
          <w:lang w:val="zh-CN" w:eastAsia="zh-CN"/>
        </w:rPr>
      </w:pPr>
      <w:r>
        <w:rPr>
          <w:rFonts w:hint="eastAsia" w:ascii="楷体_GB2312" w:hAnsi="宋体" w:eastAsia="楷体_GB2312" w:cs="Times New Roman"/>
          <w:sz w:val="32"/>
          <w:szCs w:val="32"/>
          <w:lang w:val="zh-CN" w:eastAsia="zh-CN"/>
        </w:rPr>
        <w:t>（</w:t>
      </w:r>
      <w:r>
        <w:rPr>
          <w:rFonts w:hint="eastAsia" w:ascii="楷体_GB2312" w:hAnsi="宋体" w:eastAsia="楷体_GB2312" w:cs="Times New Roman"/>
          <w:sz w:val="32"/>
          <w:szCs w:val="32"/>
          <w:lang w:val="en-US" w:eastAsia="zh-CN"/>
        </w:rPr>
        <w:t>四</w:t>
      </w:r>
      <w:r>
        <w:rPr>
          <w:rFonts w:hint="eastAsia" w:ascii="楷体_GB2312" w:hAnsi="宋体" w:eastAsia="楷体_GB2312" w:cs="Times New Roman"/>
          <w:sz w:val="32"/>
          <w:szCs w:val="32"/>
          <w:lang w:val="zh-CN" w:eastAsia="zh-CN"/>
        </w:rPr>
        <w:t>）对标国际一流，着力提升品质，打造“</w:t>
      </w:r>
      <w:r>
        <w:rPr>
          <w:rFonts w:hint="eastAsia" w:ascii="楷体_GB2312" w:hAnsi="宋体" w:eastAsia="楷体_GB2312" w:cs="Times New Roman"/>
          <w:sz w:val="32"/>
          <w:szCs w:val="32"/>
          <w:lang w:val="en-US" w:eastAsia="zh-CN"/>
        </w:rPr>
        <w:t>环境宜业”</w:t>
      </w:r>
      <w:r>
        <w:rPr>
          <w:rFonts w:hint="eastAsia" w:ascii="楷体_GB2312" w:hAnsi="宋体" w:eastAsia="楷体_GB2312" w:cs="Times New Roman"/>
          <w:sz w:val="32"/>
          <w:szCs w:val="32"/>
          <w:lang w:val="zh-CN" w:eastAsia="zh-CN"/>
        </w:rPr>
        <w:t>标杆园区</w:t>
      </w:r>
    </w:p>
    <w:p>
      <w:pPr>
        <w:pageBreakBefore w:val="0"/>
        <w:widowControl w:val="0"/>
        <w:kinsoku/>
        <w:wordWrap/>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加强智慧街区建设。加强智慧基础设施建设，充分利用5G、物联网、云计算等技术，推动城市基础设施的智能化改造。加强智慧城市部件建设，试点推动智能灯杆布放，布局智能步道、推进智能交通管理、智慧感知系统建设，改善区域静态交通管理秩序，提高动态通行效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结合户外媒体屏智能化改造提升，加强“国家服务业扩大开放综合示范区”标识应用。</w:t>
      </w:r>
      <w:r>
        <w:rPr>
          <w:rFonts w:hint="eastAsia" w:ascii="仿宋_GB2312" w:hAnsi="仿宋_GB2312" w:eastAsia="仿宋_GB2312" w:cs="仿宋_GB2312"/>
          <w:color w:val="000000" w:themeColor="text1"/>
          <w:sz w:val="32"/>
          <w:szCs w:val="32"/>
          <w14:textFill>
            <w14:solidFill>
              <w14:schemeClr w14:val="tx1"/>
            </w14:solidFill>
          </w14:textFill>
        </w:rPr>
        <w:t>结合重要时间节点做好环境景观布置，深化金融街夜间光环境设计，提高智能化管控水平，提升能源的利用效率。</w:t>
      </w:r>
    </w:p>
    <w:p>
      <w:pPr>
        <w:pageBreakBefore w:val="0"/>
        <w:widowControl w:val="0"/>
        <w:kinsoku/>
        <w:wordWrap/>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聚力打造标杆楼宇。在新建楼宇和现有楼宇升级改造中推广“智慧楼宇”建设，积极打造以大健康管理服务理念为核心的“健康楼宇”，推动打造“零碳大厦”，将节能改造纳入楼宇升级计划，促进节能减排。加强国际化街区楼宇标识设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推进快递驿站进楼宇，提升金融街写字楼物业服务质量。</w:t>
      </w:r>
    </w:p>
    <w:p>
      <w:pPr>
        <w:pageBreakBefore w:val="0"/>
        <w:widowControl w:val="0"/>
        <w:kinsoku/>
        <w:wordWrap/>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增强金融街辐射带动作用和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商业</w:t>
      </w:r>
      <w:r>
        <w:rPr>
          <w:rFonts w:hint="eastAsia" w:ascii="仿宋_GB2312" w:hAnsi="仿宋_GB2312" w:eastAsia="仿宋_GB2312" w:cs="仿宋_GB2312"/>
          <w:color w:val="000000" w:themeColor="text1"/>
          <w:sz w:val="32"/>
          <w:szCs w:val="32"/>
          <w14:textFill>
            <w14:solidFill>
              <w14:schemeClr w14:val="tx1"/>
            </w14:solidFill>
          </w14:textFill>
        </w:rPr>
        <w:t>服务配套供给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支持区域服务业态丰富优化。制作金融街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商业服务</w:t>
      </w:r>
      <w:r>
        <w:rPr>
          <w:rFonts w:hint="eastAsia" w:ascii="仿宋_GB2312" w:hAnsi="仿宋_GB2312" w:eastAsia="仿宋_GB2312" w:cs="仿宋_GB2312"/>
          <w:color w:val="000000" w:themeColor="text1"/>
          <w:sz w:val="32"/>
          <w:szCs w:val="32"/>
          <w14:textFill>
            <w14:solidFill>
              <w14:schemeClr w14:val="tx1"/>
            </w14:solidFill>
          </w14:textFill>
        </w:rPr>
        <w:t>配套设施地图，提升区域内体育健身、文化休闲、健康管理等配套设施的感知度，提高金融街生活消费品质，发展夜间经济，更好满足金融街区域内从业人员和国际化人才的多元化需要，带动区域活力不断提升。</w:t>
      </w:r>
    </w:p>
    <w:p>
      <w:pPr>
        <w:pageBreakBefore w:val="0"/>
        <w:widowControl w:val="0"/>
        <w:kinsoku/>
        <w:wordWrap/>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发展特色金融文化。促进金融街发展与历史文化名城保护有机结合，充分开发利用白塔寺、都城隍庙等传统文物文化价值，联动“白塔夜话”“书香西城”等西城文化品牌，持续打造“乐聚金融街”品牌活动，开发特色金融文化资源，设计创作金融街雕塑作品，提升区域标识度。加强区域公共文化服务建设，开发利用楼宇空间建设精品、特色阅读空间，提升区域金融文化氛围。</w:t>
      </w:r>
    </w:p>
    <w:p>
      <w:pPr>
        <w:pageBreakBefore w:val="0"/>
        <w:widowControl w:val="0"/>
        <w:kinsoku/>
        <w:wordWrap/>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健全优化金融法治体系。充分发挥北京金融法院司法服务、保障功能，加强金融科技法治研究中心建设，探索设立金融街检融联络办公室。鼓励仲裁机构、信用评级机构、征信公司等机构发展，加强驻区企业诚信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充分发挥驻区国际仲裁机构和商事调解机构作用，不断完善国际金融商事纠纷解决机制。</w:t>
      </w:r>
    </w:p>
    <w:p>
      <w:pPr>
        <w:pageBreakBefore w:val="0"/>
        <w:widowControl w:val="0"/>
        <w:numPr>
          <w:ilvl w:val="0"/>
          <w:numId w:val="0"/>
        </w:numPr>
        <w:kinsoku/>
        <w:wordWrap/>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构建区域稳定发展环境，积极配合金融管理部门、驻区金融机构开展风险处置工作，为国家金融管理部门运行、区域金融产业发展构建稳定发展环境。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t>强化金融街与金科新区“一街一区”联动，形成金融创新需求牵引科技创新供给、科技创新供给创造金融创新需求的高水平动态平衡。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lang w:val="zh-CN"/>
          <w14:textFill>
            <w14:solidFill>
              <w14:schemeClr w14:val="tx1"/>
            </w14:solidFill>
          </w14:textFill>
        </w:rPr>
        <w:t>强化金融街</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zh-CN"/>
          <w14:textFill>
            <w14:solidFill>
              <w14:schemeClr w14:val="tx1"/>
            </w14:solidFill>
          </w14:textFill>
        </w:rPr>
        <w:t>西单</w:t>
      </w:r>
      <w:r>
        <w:rPr>
          <w:rFonts w:hint="eastAsia" w:ascii="仿宋_GB2312" w:hAnsi="仿宋_GB2312" w:eastAsia="仿宋_GB2312" w:cs="仿宋_GB2312"/>
          <w:color w:val="000000" w:themeColor="text1"/>
          <w:sz w:val="32"/>
          <w:szCs w:val="32"/>
          <w14:textFill>
            <w14:solidFill>
              <w14:schemeClr w14:val="tx1"/>
            </w14:solidFill>
          </w14:textFill>
        </w:rPr>
        <w:t>等周边</w:t>
      </w:r>
      <w:r>
        <w:rPr>
          <w:rFonts w:hint="eastAsia" w:ascii="仿宋_GB2312" w:hAnsi="仿宋_GB2312" w:eastAsia="仿宋_GB2312" w:cs="仿宋_GB2312"/>
          <w:color w:val="000000" w:themeColor="text1"/>
          <w:sz w:val="32"/>
          <w:szCs w:val="32"/>
          <w:lang w:val="zh-CN"/>
          <w14:textFill>
            <w14:solidFill>
              <w14:schemeClr w14:val="tx1"/>
            </w14:solidFill>
          </w14:textFill>
        </w:rPr>
        <w:t>商业</w:t>
      </w:r>
      <w:r>
        <w:rPr>
          <w:rFonts w:hint="eastAsia" w:ascii="仿宋_GB2312" w:hAnsi="仿宋_GB2312" w:eastAsia="仿宋_GB2312" w:cs="仿宋_GB2312"/>
          <w:color w:val="000000" w:themeColor="text1"/>
          <w:sz w:val="32"/>
          <w:szCs w:val="32"/>
          <w14:textFill>
            <w14:solidFill>
              <w14:schemeClr w14:val="tx1"/>
            </w14:solidFill>
          </w14:textFill>
        </w:rPr>
        <w:t>区产业联动</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深入挖掘数字经济、商贸、医疗、健康、教育、养老、文化、专业服务业领域项目资源，构筑一批集高端商业供给、高品质文化呈现、高科技场景应用于一体的时尚新地标，打造“两区”打卡地</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pageBreakBefore w:val="0"/>
        <w:widowControl w:val="0"/>
        <w:numPr>
          <w:ilvl w:val="0"/>
          <w:numId w:val="0"/>
        </w:numPr>
        <w:kinsoku/>
        <w:wordWrap/>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加强与月坛地区、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德胜地区、广外地区</w:t>
      </w:r>
      <w:r>
        <w:rPr>
          <w:rFonts w:hint="eastAsia" w:ascii="仿宋_GB2312" w:hAnsi="仿宋_GB2312" w:eastAsia="仿宋_GB2312" w:cs="仿宋_GB2312"/>
          <w:color w:val="000000" w:themeColor="text1"/>
          <w:sz w:val="32"/>
          <w:szCs w:val="32"/>
          <w14:textFill>
            <w14:solidFill>
              <w14:schemeClr w14:val="tx1"/>
            </w14:solidFill>
          </w14:textFill>
        </w:rPr>
        <w:t>联动，</w:t>
      </w:r>
      <w:r>
        <w:rPr>
          <w:rFonts w:hint="eastAsia" w:ascii="仿宋_GB2312" w:hAnsi="仿宋_GB2312" w:eastAsia="仿宋_GB2312" w:cs="仿宋_GB2312"/>
          <w:color w:val="000000" w:themeColor="text1"/>
          <w:sz w:val="32"/>
          <w:szCs w:val="32"/>
          <w:lang w:val="zh-CN"/>
          <w14:textFill>
            <w14:solidFill>
              <w14:schemeClr w14:val="tx1"/>
            </w14:solidFill>
          </w14:textFill>
        </w:rPr>
        <w:t>深入挖掘可转型升级的楼宇，立足资源优势，延伸金融产业链条，带动金融、科技、文化等产业领域的上下游环节、新兴拓展业务集聚，形成多点支撑、功能完善、互补共生的发展格局。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zh-CN"/>
        </w:rPr>
      </w:pPr>
      <w:r>
        <w:rPr>
          <w:rFonts w:hint="eastAsia" w:ascii="黑体" w:hAnsi="黑体" w:eastAsia="黑体" w:cs="黑体"/>
          <w:b/>
          <w:bCs/>
          <w:sz w:val="32"/>
          <w:szCs w:val="32"/>
          <w:lang w:val="zh-CN"/>
        </w:rPr>
        <w:t>四、保障实施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）明确部门职责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积极作为，主动担当，认真研究工作举措，多方协调力量，推动工作任务落实落细。规范管理，加强服务，开展制度创新，加强招商引资，打造特色和亮点。</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加大人才支撑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加强人才引进支持，广泛吸纳熟悉开放工作，具有专业背景，特别是具有海外工作经历的优秀人才任职或担任特聘专家；探索开展聘任制等市场化用人机制。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深化外部合作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深化与专业咨询机构、行会协会、国内外知名学府多领域合作，为园区发展提供智力支撑和保障。</w:t>
      </w:r>
    </w:p>
    <w:p>
      <w:pPr>
        <w:pStyle w:val="2"/>
        <w:ind w:left="0" w:leftChars="0" w:firstLine="0" w:firstLineChars="0"/>
      </w:pPr>
    </w:p>
    <w:p>
      <w:pPr>
        <w:pStyle w:val="2"/>
        <w:ind w:left="0" w:leftChars="0" w:firstLine="0" w:firstLineChars="0"/>
        <w:rPr>
          <w:rFonts w:hint="eastAsia" w:ascii="黑体" w:hAnsi="黑体" w:eastAsia="黑体" w:cs="黑体"/>
          <w:kern w:val="0"/>
          <w:sz w:val="32"/>
          <w:szCs w:val="32"/>
          <w:lang w:val="en-US" w:eastAsia="zh-CN"/>
        </w:rPr>
      </w:pPr>
    </w:p>
    <w:sectPr>
      <w:headerReference r:id="rId3" w:type="default"/>
      <w:footerReference r:id="rId4" w:type="default"/>
      <w:pgSz w:w="11906" w:h="16838"/>
      <w:pgMar w:top="2098" w:right="1474" w:bottom="1984" w:left="1587" w:header="1417"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5A390"/>
    <w:multiLevelType w:val="singleLevel"/>
    <w:tmpl w:val="9DB5A390"/>
    <w:lvl w:ilvl="0" w:tentative="0">
      <w:start w:val="14"/>
      <w:numFmt w:val="decimal"/>
      <w:lvlText w:val="%1."/>
      <w:lvlJc w:val="left"/>
      <w:pPr>
        <w:tabs>
          <w:tab w:val="left" w:pos="312"/>
        </w:tabs>
      </w:pPr>
    </w:lvl>
  </w:abstractNum>
  <w:abstractNum w:abstractNumId="1">
    <w:nsid w:val="AA91BE78"/>
    <w:multiLevelType w:val="singleLevel"/>
    <w:tmpl w:val="AA91BE7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54"/>
    <w:rsid w:val="000016E0"/>
    <w:rsid w:val="00004A91"/>
    <w:rsid w:val="00005CC2"/>
    <w:rsid w:val="000065B8"/>
    <w:rsid w:val="000065C1"/>
    <w:rsid w:val="0000784B"/>
    <w:rsid w:val="00007A5E"/>
    <w:rsid w:val="00012C7A"/>
    <w:rsid w:val="000158F6"/>
    <w:rsid w:val="00017A64"/>
    <w:rsid w:val="00020CC0"/>
    <w:rsid w:val="00021244"/>
    <w:rsid w:val="00022EF2"/>
    <w:rsid w:val="000262E9"/>
    <w:rsid w:val="00032882"/>
    <w:rsid w:val="000349BB"/>
    <w:rsid w:val="0004006E"/>
    <w:rsid w:val="00042063"/>
    <w:rsid w:val="00042614"/>
    <w:rsid w:val="00042846"/>
    <w:rsid w:val="00044CAA"/>
    <w:rsid w:val="00046FE6"/>
    <w:rsid w:val="000503CE"/>
    <w:rsid w:val="000570DD"/>
    <w:rsid w:val="00063E98"/>
    <w:rsid w:val="00064825"/>
    <w:rsid w:val="00065268"/>
    <w:rsid w:val="0006692A"/>
    <w:rsid w:val="00067DF2"/>
    <w:rsid w:val="00070DD1"/>
    <w:rsid w:val="0008065B"/>
    <w:rsid w:val="000811D5"/>
    <w:rsid w:val="00081C5A"/>
    <w:rsid w:val="0008203E"/>
    <w:rsid w:val="0008241B"/>
    <w:rsid w:val="00085191"/>
    <w:rsid w:val="00085690"/>
    <w:rsid w:val="00085A32"/>
    <w:rsid w:val="00085FCE"/>
    <w:rsid w:val="0008727B"/>
    <w:rsid w:val="000875B3"/>
    <w:rsid w:val="00090290"/>
    <w:rsid w:val="00090EC6"/>
    <w:rsid w:val="000939D8"/>
    <w:rsid w:val="00094223"/>
    <w:rsid w:val="000955A2"/>
    <w:rsid w:val="00096A77"/>
    <w:rsid w:val="000972A6"/>
    <w:rsid w:val="000A0C9C"/>
    <w:rsid w:val="000A0F7B"/>
    <w:rsid w:val="000A2763"/>
    <w:rsid w:val="000A279F"/>
    <w:rsid w:val="000A3BD9"/>
    <w:rsid w:val="000A6385"/>
    <w:rsid w:val="000B0E63"/>
    <w:rsid w:val="000B3AC3"/>
    <w:rsid w:val="000B48BB"/>
    <w:rsid w:val="000C29B7"/>
    <w:rsid w:val="000C344D"/>
    <w:rsid w:val="000C3B50"/>
    <w:rsid w:val="000C5765"/>
    <w:rsid w:val="000C6CC4"/>
    <w:rsid w:val="000C7BF8"/>
    <w:rsid w:val="000D16CD"/>
    <w:rsid w:val="000D4484"/>
    <w:rsid w:val="000D4F93"/>
    <w:rsid w:val="000D53EA"/>
    <w:rsid w:val="000D620F"/>
    <w:rsid w:val="000E0709"/>
    <w:rsid w:val="000E14EE"/>
    <w:rsid w:val="000E3AE4"/>
    <w:rsid w:val="000E4B10"/>
    <w:rsid w:val="000F054B"/>
    <w:rsid w:val="000F097C"/>
    <w:rsid w:val="000F11F5"/>
    <w:rsid w:val="000F2DC7"/>
    <w:rsid w:val="000F322E"/>
    <w:rsid w:val="000F7D0B"/>
    <w:rsid w:val="00100201"/>
    <w:rsid w:val="0010097B"/>
    <w:rsid w:val="00101C7E"/>
    <w:rsid w:val="00105254"/>
    <w:rsid w:val="00106746"/>
    <w:rsid w:val="00107807"/>
    <w:rsid w:val="00110203"/>
    <w:rsid w:val="00110EC6"/>
    <w:rsid w:val="00111DB3"/>
    <w:rsid w:val="0011247B"/>
    <w:rsid w:val="0011543D"/>
    <w:rsid w:val="00117000"/>
    <w:rsid w:val="00125DA8"/>
    <w:rsid w:val="00127E01"/>
    <w:rsid w:val="00131051"/>
    <w:rsid w:val="00132CA0"/>
    <w:rsid w:val="001339F0"/>
    <w:rsid w:val="001357EC"/>
    <w:rsid w:val="00137387"/>
    <w:rsid w:val="00140783"/>
    <w:rsid w:val="00141987"/>
    <w:rsid w:val="0014199E"/>
    <w:rsid w:val="001467E0"/>
    <w:rsid w:val="001467FB"/>
    <w:rsid w:val="00147532"/>
    <w:rsid w:val="00151306"/>
    <w:rsid w:val="00152BE9"/>
    <w:rsid w:val="00154644"/>
    <w:rsid w:val="00157438"/>
    <w:rsid w:val="00157CC5"/>
    <w:rsid w:val="001616DD"/>
    <w:rsid w:val="0016454E"/>
    <w:rsid w:val="001645CD"/>
    <w:rsid w:val="001646B0"/>
    <w:rsid w:val="00166EB8"/>
    <w:rsid w:val="001713D8"/>
    <w:rsid w:val="00173D4D"/>
    <w:rsid w:val="0017536D"/>
    <w:rsid w:val="00180815"/>
    <w:rsid w:val="001818E7"/>
    <w:rsid w:val="0018233E"/>
    <w:rsid w:val="00182D4F"/>
    <w:rsid w:val="0018446F"/>
    <w:rsid w:val="001858AE"/>
    <w:rsid w:val="00185F29"/>
    <w:rsid w:val="00187753"/>
    <w:rsid w:val="001878F9"/>
    <w:rsid w:val="00187BD9"/>
    <w:rsid w:val="00187F2D"/>
    <w:rsid w:val="00190616"/>
    <w:rsid w:val="001923D1"/>
    <w:rsid w:val="00197769"/>
    <w:rsid w:val="001A0758"/>
    <w:rsid w:val="001A21E6"/>
    <w:rsid w:val="001A3895"/>
    <w:rsid w:val="001A3C65"/>
    <w:rsid w:val="001A464E"/>
    <w:rsid w:val="001A52A2"/>
    <w:rsid w:val="001A5DD0"/>
    <w:rsid w:val="001A6696"/>
    <w:rsid w:val="001A7F2C"/>
    <w:rsid w:val="001B5A01"/>
    <w:rsid w:val="001C08D8"/>
    <w:rsid w:val="001C0969"/>
    <w:rsid w:val="001C13DB"/>
    <w:rsid w:val="001C3B75"/>
    <w:rsid w:val="001C4978"/>
    <w:rsid w:val="001C613B"/>
    <w:rsid w:val="001C61FE"/>
    <w:rsid w:val="001C79A5"/>
    <w:rsid w:val="001D026F"/>
    <w:rsid w:val="001D3501"/>
    <w:rsid w:val="001D59AA"/>
    <w:rsid w:val="001E1A38"/>
    <w:rsid w:val="001E5CB8"/>
    <w:rsid w:val="001F0C5D"/>
    <w:rsid w:val="001F15FC"/>
    <w:rsid w:val="001F1913"/>
    <w:rsid w:val="001F1E42"/>
    <w:rsid w:val="001F2B78"/>
    <w:rsid w:val="001F5479"/>
    <w:rsid w:val="001F5FE6"/>
    <w:rsid w:val="001F7721"/>
    <w:rsid w:val="002003D2"/>
    <w:rsid w:val="002003E5"/>
    <w:rsid w:val="002022AA"/>
    <w:rsid w:val="00207B18"/>
    <w:rsid w:val="0021075B"/>
    <w:rsid w:val="0021388B"/>
    <w:rsid w:val="002143C0"/>
    <w:rsid w:val="002151C6"/>
    <w:rsid w:val="00216A7E"/>
    <w:rsid w:val="002249BA"/>
    <w:rsid w:val="002252F5"/>
    <w:rsid w:val="0022555C"/>
    <w:rsid w:val="00225C8E"/>
    <w:rsid w:val="00227DF4"/>
    <w:rsid w:val="002344E2"/>
    <w:rsid w:val="002348BA"/>
    <w:rsid w:val="0023498F"/>
    <w:rsid w:val="0023576F"/>
    <w:rsid w:val="00237C1C"/>
    <w:rsid w:val="00244439"/>
    <w:rsid w:val="00245257"/>
    <w:rsid w:val="00250A8E"/>
    <w:rsid w:val="00251B8A"/>
    <w:rsid w:val="0025291F"/>
    <w:rsid w:val="00252B4A"/>
    <w:rsid w:val="0025546F"/>
    <w:rsid w:val="00255742"/>
    <w:rsid w:val="0025595C"/>
    <w:rsid w:val="0026061C"/>
    <w:rsid w:val="0026116F"/>
    <w:rsid w:val="002646BD"/>
    <w:rsid w:val="00267176"/>
    <w:rsid w:val="00267288"/>
    <w:rsid w:val="0026729F"/>
    <w:rsid w:val="00276927"/>
    <w:rsid w:val="002814F2"/>
    <w:rsid w:val="0028377C"/>
    <w:rsid w:val="00285092"/>
    <w:rsid w:val="00285744"/>
    <w:rsid w:val="00290E2E"/>
    <w:rsid w:val="00292CA3"/>
    <w:rsid w:val="00293622"/>
    <w:rsid w:val="00297037"/>
    <w:rsid w:val="002A0117"/>
    <w:rsid w:val="002A21C4"/>
    <w:rsid w:val="002A2C80"/>
    <w:rsid w:val="002B0A15"/>
    <w:rsid w:val="002B1588"/>
    <w:rsid w:val="002B19CB"/>
    <w:rsid w:val="002B511B"/>
    <w:rsid w:val="002B6CA3"/>
    <w:rsid w:val="002B6FE2"/>
    <w:rsid w:val="002C0304"/>
    <w:rsid w:val="002C094F"/>
    <w:rsid w:val="002C2241"/>
    <w:rsid w:val="002C492B"/>
    <w:rsid w:val="002D0E11"/>
    <w:rsid w:val="002D476C"/>
    <w:rsid w:val="002D5CB4"/>
    <w:rsid w:val="002D7B37"/>
    <w:rsid w:val="002E0A55"/>
    <w:rsid w:val="002E3DA5"/>
    <w:rsid w:val="002F6418"/>
    <w:rsid w:val="002F79B2"/>
    <w:rsid w:val="002F7B07"/>
    <w:rsid w:val="00300A04"/>
    <w:rsid w:val="003022CA"/>
    <w:rsid w:val="00302C5D"/>
    <w:rsid w:val="00302D32"/>
    <w:rsid w:val="00304B0D"/>
    <w:rsid w:val="00306EB5"/>
    <w:rsid w:val="00311BCF"/>
    <w:rsid w:val="00312CC9"/>
    <w:rsid w:val="003144F6"/>
    <w:rsid w:val="00314B75"/>
    <w:rsid w:val="00315D2F"/>
    <w:rsid w:val="00320BF3"/>
    <w:rsid w:val="0032122C"/>
    <w:rsid w:val="003218FB"/>
    <w:rsid w:val="00321B91"/>
    <w:rsid w:val="00322E50"/>
    <w:rsid w:val="00324D84"/>
    <w:rsid w:val="00325C5A"/>
    <w:rsid w:val="003261C8"/>
    <w:rsid w:val="00326970"/>
    <w:rsid w:val="00326EF6"/>
    <w:rsid w:val="0032794A"/>
    <w:rsid w:val="00327C17"/>
    <w:rsid w:val="00333FF8"/>
    <w:rsid w:val="00334CFD"/>
    <w:rsid w:val="00336C49"/>
    <w:rsid w:val="00336EFB"/>
    <w:rsid w:val="00336FB3"/>
    <w:rsid w:val="00337F6D"/>
    <w:rsid w:val="00341218"/>
    <w:rsid w:val="00341500"/>
    <w:rsid w:val="00341623"/>
    <w:rsid w:val="00341A6F"/>
    <w:rsid w:val="00341BDB"/>
    <w:rsid w:val="00344FA7"/>
    <w:rsid w:val="00345DAD"/>
    <w:rsid w:val="003474A5"/>
    <w:rsid w:val="00347FAA"/>
    <w:rsid w:val="00350ABE"/>
    <w:rsid w:val="00352349"/>
    <w:rsid w:val="00352A9C"/>
    <w:rsid w:val="00353ED1"/>
    <w:rsid w:val="00354589"/>
    <w:rsid w:val="0035467B"/>
    <w:rsid w:val="00360C9A"/>
    <w:rsid w:val="00364074"/>
    <w:rsid w:val="0036637C"/>
    <w:rsid w:val="003717F5"/>
    <w:rsid w:val="003725D7"/>
    <w:rsid w:val="0037492B"/>
    <w:rsid w:val="00377779"/>
    <w:rsid w:val="00377C0B"/>
    <w:rsid w:val="00380419"/>
    <w:rsid w:val="00380517"/>
    <w:rsid w:val="00382BD3"/>
    <w:rsid w:val="00384F87"/>
    <w:rsid w:val="00385271"/>
    <w:rsid w:val="00390026"/>
    <w:rsid w:val="00390988"/>
    <w:rsid w:val="0039208F"/>
    <w:rsid w:val="003937C1"/>
    <w:rsid w:val="00393CBA"/>
    <w:rsid w:val="003950D4"/>
    <w:rsid w:val="0039662B"/>
    <w:rsid w:val="00396AE7"/>
    <w:rsid w:val="003A4B48"/>
    <w:rsid w:val="003A535F"/>
    <w:rsid w:val="003A59D1"/>
    <w:rsid w:val="003A7488"/>
    <w:rsid w:val="003A7B9E"/>
    <w:rsid w:val="003A7DC2"/>
    <w:rsid w:val="003B1C7F"/>
    <w:rsid w:val="003B3679"/>
    <w:rsid w:val="003B47F0"/>
    <w:rsid w:val="003B795A"/>
    <w:rsid w:val="003C2199"/>
    <w:rsid w:val="003C23C8"/>
    <w:rsid w:val="003C2577"/>
    <w:rsid w:val="003C42ED"/>
    <w:rsid w:val="003C55F6"/>
    <w:rsid w:val="003C6887"/>
    <w:rsid w:val="003C74E4"/>
    <w:rsid w:val="003D01F1"/>
    <w:rsid w:val="003D0649"/>
    <w:rsid w:val="003D1619"/>
    <w:rsid w:val="003D7122"/>
    <w:rsid w:val="003E1DD1"/>
    <w:rsid w:val="003E4816"/>
    <w:rsid w:val="003E7168"/>
    <w:rsid w:val="003F0396"/>
    <w:rsid w:val="003F0F18"/>
    <w:rsid w:val="003F1338"/>
    <w:rsid w:val="003F2FC9"/>
    <w:rsid w:val="003F7208"/>
    <w:rsid w:val="003F7BEC"/>
    <w:rsid w:val="003F7E4F"/>
    <w:rsid w:val="00403692"/>
    <w:rsid w:val="00404909"/>
    <w:rsid w:val="004070F4"/>
    <w:rsid w:val="00407289"/>
    <w:rsid w:val="004074AC"/>
    <w:rsid w:val="00407F95"/>
    <w:rsid w:val="00410438"/>
    <w:rsid w:val="00410BE9"/>
    <w:rsid w:val="00411AEE"/>
    <w:rsid w:val="00413DFE"/>
    <w:rsid w:val="004165EE"/>
    <w:rsid w:val="00420285"/>
    <w:rsid w:val="0042225C"/>
    <w:rsid w:val="004255D2"/>
    <w:rsid w:val="0042757E"/>
    <w:rsid w:val="00430BC8"/>
    <w:rsid w:val="00433BB6"/>
    <w:rsid w:val="0044067C"/>
    <w:rsid w:val="00441447"/>
    <w:rsid w:val="004429A8"/>
    <w:rsid w:val="00442DB9"/>
    <w:rsid w:val="00444AE6"/>
    <w:rsid w:val="00445413"/>
    <w:rsid w:val="004458CF"/>
    <w:rsid w:val="00450533"/>
    <w:rsid w:val="00451441"/>
    <w:rsid w:val="00454E31"/>
    <w:rsid w:val="004552F1"/>
    <w:rsid w:val="00457FBF"/>
    <w:rsid w:val="004621DA"/>
    <w:rsid w:val="004624BB"/>
    <w:rsid w:val="00465FA0"/>
    <w:rsid w:val="00467C17"/>
    <w:rsid w:val="00470B78"/>
    <w:rsid w:val="00470E67"/>
    <w:rsid w:val="0047281C"/>
    <w:rsid w:val="00476518"/>
    <w:rsid w:val="00480F72"/>
    <w:rsid w:val="004811E5"/>
    <w:rsid w:val="004817A4"/>
    <w:rsid w:val="00483012"/>
    <w:rsid w:val="0048429E"/>
    <w:rsid w:val="0048589D"/>
    <w:rsid w:val="00487D30"/>
    <w:rsid w:val="0049120F"/>
    <w:rsid w:val="004917A9"/>
    <w:rsid w:val="00492F93"/>
    <w:rsid w:val="00494C01"/>
    <w:rsid w:val="00496193"/>
    <w:rsid w:val="004975BE"/>
    <w:rsid w:val="00497EF5"/>
    <w:rsid w:val="004A2337"/>
    <w:rsid w:val="004A2819"/>
    <w:rsid w:val="004A3525"/>
    <w:rsid w:val="004A4ED8"/>
    <w:rsid w:val="004A60DE"/>
    <w:rsid w:val="004A753C"/>
    <w:rsid w:val="004A75E0"/>
    <w:rsid w:val="004B0A91"/>
    <w:rsid w:val="004B1C9F"/>
    <w:rsid w:val="004B4BCB"/>
    <w:rsid w:val="004B4F86"/>
    <w:rsid w:val="004C49A1"/>
    <w:rsid w:val="004C4F57"/>
    <w:rsid w:val="004C5586"/>
    <w:rsid w:val="004C57E1"/>
    <w:rsid w:val="004C69D0"/>
    <w:rsid w:val="004C6B12"/>
    <w:rsid w:val="004C6D23"/>
    <w:rsid w:val="004D4105"/>
    <w:rsid w:val="004D5202"/>
    <w:rsid w:val="004D79D6"/>
    <w:rsid w:val="004D7DF4"/>
    <w:rsid w:val="004E3099"/>
    <w:rsid w:val="004E39CD"/>
    <w:rsid w:val="004E44FB"/>
    <w:rsid w:val="004E4643"/>
    <w:rsid w:val="004E55AB"/>
    <w:rsid w:val="004E57FC"/>
    <w:rsid w:val="004E5E39"/>
    <w:rsid w:val="004E6CC3"/>
    <w:rsid w:val="004E71AE"/>
    <w:rsid w:val="004F23F2"/>
    <w:rsid w:val="004F62D5"/>
    <w:rsid w:val="004F67A0"/>
    <w:rsid w:val="004F737A"/>
    <w:rsid w:val="00500A37"/>
    <w:rsid w:val="00501412"/>
    <w:rsid w:val="00512D9B"/>
    <w:rsid w:val="00515989"/>
    <w:rsid w:val="00515A1B"/>
    <w:rsid w:val="00515B96"/>
    <w:rsid w:val="00516BDF"/>
    <w:rsid w:val="00516FC8"/>
    <w:rsid w:val="00517A8A"/>
    <w:rsid w:val="005201DB"/>
    <w:rsid w:val="00526012"/>
    <w:rsid w:val="00527426"/>
    <w:rsid w:val="005278F9"/>
    <w:rsid w:val="00533CE1"/>
    <w:rsid w:val="0054117D"/>
    <w:rsid w:val="005412A4"/>
    <w:rsid w:val="00541CE2"/>
    <w:rsid w:val="00541E53"/>
    <w:rsid w:val="0054345C"/>
    <w:rsid w:val="005443FC"/>
    <w:rsid w:val="00546FFB"/>
    <w:rsid w:val="00550A52"/>
    <w:rsid w:val="00551980"/>
    <w:rsid w:val="005527F4"/>
    <w:rsid w:val="00555E0B"/>
    <w:rsid w:val="00557A70"/>
    <w:rsid w:val="00560BF6"/>
    <w:rsid w:val="00560E1D"/>
    <w:rsid w:val="00561CBD"/>
    <w:rsid w:val="00565662"/>
    <w:rsid w:val="005657FB"/>
    <w:rsid w:val="005664EA"/>
    <w:rsid w:val="005726F7"/>
    <w:rsid w:val="00572E42"/>
    <w:rsid w:val="005741D8"/>
    <w:rsid w:val="005748EF"/>
    <w:rsid w:val="005759A3"/>
    <w:rsid w:val="005770C7"/>
    <w:rsid w:val="00580E27"/>
    <w:rsid w:val="005817A3"/>
    <w:rsid w:val="00582F32"/>
    <w:rsid w:val="005840DF"/>
    <w:rsid w:val="00584741"/>
    <w:rsid w:val="00584C79"/>
    <w:rsid w:val="0058754A"/>
    <w:rsid w:val="00593D40"/>
    <w:rsid w:val="00594184"/>
    <w:rsid w:val="00595C2A"/>
    <w:rsid w:val="00595F3C"/>
    <w:rsid w:val="00596F61"/>
    <w:rsid w:val="005A243E"/>
    <w:rsid w:val="005A3550"/>
    <w:rsid w:val="005A41E0"/>
    <w:rsid w:val="005A5CCC"/>
    <w:rsid w:val="005A6258"/>
    <w:rsid w:val="005B04CE"/>
    <w:rsid w:val="005B1275"/>
    <w:rsid w:val="005B3050"/>
    <w:rsid w:val="005B363E"/>
    <w:rsid w:val="005B65F6"/>
    <w:rsid w:val="005C1FB5"/>
    <w:rsid w:val="005C3403"/>
    <w:rsid w:val="005C649B"/>
    <w:rsid w:val="005C76F9"/>
    <w:rsid w:val="005D33AA"/>
    <w:rsid w:val="005D3ECF"/>
    <w:rsid w:val="005D6509"/>
    <w:rsid w:val="005D6B2B"/>
    <w:rsid w:val="005E050F"/>
    <w:rsid w:val="005E08DF"/>
    <w:rsid w:val="005E3147"/>
    <w:rsid w:val="005E51CA"/>
    <w:rsid w:val="005E6200"/>
    <w:rsid w:val="005F1347"/>
    <w:rsid w:val="005F20AF"/>
    <w:rsid w:val="005F42BF"/>
    <w:rsid w:val="005F468C"/>
    <w:rsid w:val="005F53D4"/>
    <w:rsid w:val="005F5AEF"/>
    <w:rsid w:val="0060058C"/>
    <w:rsid w:val="00600952"/>
    <w:rsid w:val="00602FEE"/>
    <w:rsid w:val="0060522C"/>
    <w:rsid w:val="00605F7E"/>
    <w:rsid w:val="006100C6"/>
    <w:rsid w:val="00610E8B"/>
    <w:rsid w:val="00611A81"/>
    <w:rsid w:val="00612706"/>
    <w:rsid w:val="00614A10"/>
    <w:rsid w:val="006154D4"/>
    <w:rsid w:val="00617BAF"/>
    <w:rsid w:val="0062561F"/>
    <w:rsid w:val="00630729"/>
    <w:rsid w:val="00632D63"/>
    <w:rsid w:val="00634678"/>
    <w:rsid w:val="006352F6"/>
    <w:rsid w:val="00640381"/>
    <w:rsid w:val="0064079C"/>
    <w:rsid w:val="00640969"/>
    <w:rsid w:val="00641611"/>
    <w:rsid w:val="00643622"/>
    <w:rsid w:val="00644554"/>
    <w:rsid w:val="00645940"/>
    <w:rsid w:val="006467A1"/>
    <w:rsid w:val="00647609"/>
    <w:rsid w:val="00647B0F"/>
    <w:rsid w:val="0065234F"/>
    <w:rsid w:val="0066123C"/>
    <w:rsid w:val="0066193B"/>
    <w:rsid w:val="006625C9"/>
    <w:rsid w:val="00662920"/>
    <w:rsid w:val="00665ACB"/>
    <w:rsid w:val="00666CA8"/>
    <w:rsid w:val="00666CEA"/>
    <w:rsid w:val="00667A0B"/>
    <w:rsid w:val="0067331A"/>
    <w:rsid w:val="00677729"/>
    <w:rsid w:val="00677979"/>
    <w:rsid w:val="00677A54"/>
    <w:rsid w:val="0068092D"/>
    <w:rsid w:val="006843E7"/>
    <w:rsid w:val="00684537"/>
    <w:rsid w:val="006849E2"/>
    <w:rsid w:val="006861C9"/>
    <w:rsid w:val="0068702C"/>
    <w:rsid w:val="00691656"/>
    <w:rsid w:val="00692328"/>
    <w:rsid w:val="00692E6D"/>
    <w:rsid w:val="0069552D"/>
    <w:rsid w:val="00696C1E"/>
    <w:rsid w:val="00697F77"/>
    <w:rsid w:val="006A255E"/>
    <w:rsid w:val="006A3F79"/>
    <w:rsid w:val="006A464F"/>
    <w:rsid w:val="006A5A1D"/>
    <w:rsid w:val="006A5F62"/>
    <w:rsid w:val="006A6567"/>
    <w:rsid w:val="006A7469"/>
    <w:rsid w:val="006B33C7"/>
    <w:rsid w:val="006B349F"/>
    <w:rsid w:val="006B3DCB"/>
    <w:rsid w:val="006B5E9B"/>
    <w:rsid w:val="006C0473"/>
    <w:rsid w:val="006C1485"/>
    <w:rsid w:val="006C1BD1"/>
    <w:rsid w:val="006C2961"/>
    <w:rsid w:val="006C351A"/>
    <w:rsid w:val="006C47B9"/>
    <w:rsid w:val="006C595D"/>
    <w:rsid w:val="006D1AF7"/>
    <w:rsid w:val="006D4B49"/>
    <w:rsid w:val="006D5D8B"/>
    <w:rsid w:val="006D600F"/>
    <w:rsid w:val="006D7600"/>
    <w:rsid w:val="006E05B2"/>
    <w:rsid w:val="006E0B40"/>
    <w:rsid w:val="006E1496"/>
    <w:rsid w:val="006E1CDE"/>
    <w:rsid w:val="006E2AE6"/>
    <w:rsid w:val="006E409E"/>
    <w:rsid w:val="006F152A"/>
    <w:rsid w:val="006F1641"/>
    <w:rsid w:val="006F29B8"/>
    <w:rsid w:val="006F4252"/>
    <w:rsid w:val="00701168"/>
    <w:rsid w:val="00701E57"/>
    <w:rsid w:val="00703B2F"/>
    <w:rsid w:val="007054A3"/>
    <w:rsid w:val="007068E8"/>
    <w:rsid w:val="0071108E"/>
    <w:rsid w:val="00711BBB"/>
    <w:rsid w:val="00712FC8"/>
    <w:rsid w:val="007149C1"/>
    <w:rsid w:val="0071546F"/>
    <w:rsid w:val="00716040"/>
    <w:rsid w:val="00716AA1"/>
    <w:rsid w:val="0072038C"/>
    <w:rsid w:val="0072133E"/>
    <w:rsid w:val="0072170A"/>
    <w:rsid w:val="00721A62"/>
    <w:rsid w:val="00724264"/>
    <w:rsid w:val="00724C11"/>
    <w:rsid w:val="0072510D"/>
    <w:rsid w:val="0072646C"/>
    <w:rsid w:val="00727B28"/>
    <w:rsid w:val="00727D7D"/>
    <w:rsid w:val="0073050C"/>
    <w:rsid w:val="00731359"/>
    <w:rsid w:val="0073276B"/>
    <w:rsid w:val="00732A87"/>
    <w:rsid w:val="0073316F"/>
    <w:rsid w:val="00733575"/>
    <w:rsid w:val="00733E07"/>
    <w:rsid w:val="00743395"/>
    <w:rsid w:val="0074349A"/>
    <w:rsid w:val="007445E3"/>
    <w:rsid w:val="00745F5A"/>
    <w:rsid w:val="00746DD8"/>
    <w:rsid w:val="00752CCF"/>
    <w:rsid w:val="007550E7"/>
    <w:rsid w:val="00757658"/>
    <w:rsid w:val="007613FC"/>
    <w:rsid w:val="007618EF"/>
    <w:rsid w:val="007634A8"/>
    <w:rsid w:val="007635D0"/>
    <w:rsid w:val="0076414B"/>
    <w:rsid w:val="00764DC1"/>
    <w:rsid w:val="00773C03"/>
    <w:rsid w:val="00776A35"/>
    <w:rsid w:val="00780174"/>
    <w:rsid w:val="00785527"/>
    <w:rsid w:val="00787D4C"/>
    <w:rsid w:val="00790622"/>
    <w:rsid w:val="00792897"/>
    <w:rsid w:val="007943F4"/>
    <w:rsid w:val="00794B25"/>
    <w:rsid w:val="007A0F59"/>
    <w:rsid w:val="007A1174"/>
    <w:rsid w:val="007A3580"/>
    <w:rsid w:val="007A45FD"/>
    <w:rsid w:val="007A5B7B"/>
    <w:rsid w:val="007A6395"/>
    <w:rsid w:val="007A7AF9"/>
    <w:rsid w:val="007B2F22"/>
    <w:rsid w:val="007B47EC"/>
    <w:rsid w:val="007B5BEF"/>
    <w:rsid w:val="007C4538"/>
    <w:rsid w:val="007C7A7A"/>
    <w:rsid w:val="007D0534"/>
    <w:rsid w:val="007D1646"/>
    <w:rsid w:val="007D1F8B"/>
    <w:rsid w:val="007D27BB"/>
    <w:rsid w:val="007D4865"/>
    <w:rsid w:val="007D6340"/>
    <w:rsid w:val="007D7157"/>
    <w:rsid w:val="007D75C0"/>
    <w:rsid w:val="007E0E12"/>
    <w:rsid w:val="007E1322"/>
    <w:rsid w:val="007E315D"/>
    <w:rsid w:val="007E78E9"/>
    <w:rsid w:val="007F39FA"/>
    <w:rsid w:val="007F451A"/>
    <w:rsid w:val="007F4A0B"/>
    <w:rsid w:val="007F7BED"/>
    <w:rsid w:val="00804A0F"/>
    <w:rsid w:val="00806899"/>
    <w:rsid w:val="00813700"/>
    <w:rsid w:val="00813708"/>
    <w:rsid w:val="00813E65"/>
    <w:rsid w:val="0081726F"/>
    <w:rsid w:val="0081747C"/>
    <w:rsid w:val="008201AA"/>
    <w:rsid w:val="0082238D"/>
    <w:rsid w:val="008235ED"/>
    <w:rsid w:val="00824DFD"/>
    <w:rsid w:val="00827BD1"/>
    <w:rsid w:val="00830999"/>
    <w:rsid w:val="00834F6F"/>
    <w:rsid w:val="00841703"/>
    <w:rsid w:val="008422CB"/>
    <w:rsid w:val="008468BD"/>
    <w:rsid w:val="008473E4"/>
    <w:rsid w:val="00852B3D"/>
    <w:rsid w:val="008532A9"/>
    <w:rsid w:val="00855407"/>
    <w:rsid w:val="00856220"/>
    <w:rsid w:val="00860742"/>
    <w:rsid w:val="008607F1"/>
    <w:rsid w:val="0086092D"/>
    <w:rsid w:val="00861349"/>
    <w:rsid w:val="00862267"/>
    <w:rsid w:val="00862917"/>
    <w:rsid w:val="00862E9E"/>
    <w:rsid w:val="00862F52"/>
    <w:rsid w:val="00864E9A"/>
    <w:rsid w:val="00865759"/>
    <w:rsid w:val="00866205"/>
    <w:rsid w:val="008668A0"/>
    <w:rsid w:val="00867196"/>
    <w:rsid w:val="00870221"/>
    <w:rsid w:val="008702DD"/>
    <w:rsid w:val="0087236B"/>
    <w:rsid w:val="00873A68"/>
    <w:rsid w:val="00876CF0"/>
    <w:rsid w:val="008807D6"/>
    <w:rsid w:val="00881741"/>
    <w:rsid w:val="00882C59"/>
    <w:rsid w:val="00885608"/>
    <w:rsid w:val="00885FE1"/>
    <w:rsid w:val="00891159"/>
    <w:rsid w:val="00891D22"/>
    <w:rsid w:val="008934FE"/>
    <w:rsid w:val="0089613A"/>
    <w:rsid w:val="008962FB"/>
    <w:rsid w:val="0089648B"/>
    <w:rsid w:val="00896DA6"/>
    <w:rsid w:val="00896F74"/>
    <w:rsid w:val="00897514"/>
    <w:rsid w:val="008A5914"/>
    <w:rsid w:val="008A61A4"/>
    <w:rsid w:val="008B175D"/>
    <w:rsid w:val="008B1976"/>
    <w:rsid w:val="008B3934"/>
    <w:rsid w:val="008B5D5F"/>
    <w:rsid w:val="008B6A56"/>
    <w:rsid w:val="008B6AF9"/>
    <w:rsid w:val="008B7477"/>
    <w:rsid w:val="008B7C7C"/>
    <w:rsid w:val="008C0465"/>
    <w:rsid w:val="008C04A3"/>
    <w:rsid w:val="008C075E"/>
    <w:rsid w:val="008C108E"/>
    <w:rsid w:val="008C10A7"/>
    <w:rsid w:val="008C2191"/>
    <w:rsid w:val="008C47AD"/>
    <w:rsid w:val="008C4FAA"/>
    <w:rsid w:val="008D07DD"/>
    <w:rsid w:val="008D25BC"/>
    <w:rsid w:val="008D2AD5"/>
    <w:rsid w:val="008D4B45"/>
    <w:rsid w:val="008D7FBE"/>
    <w:rsid w:val="008E0B6E"/>
    <w:rsid w:val="008E2914"/>
    <w:rsid w:val="008E2F7A"/>
    <w:rsid w:val="008E3D01"/>
    <w:rsid w:val="008E3F22"/>
    <w:rsid w:val="008E4A20"/>
    <w:rsid w:val="008E4BA7"/>
    <w:rsid w:val="008E5FD8"/>
    <w:rsid w:val="008F03EC"/>
    <w:rsid w:val="008F0771"/>
    <w:rsid w:val="008F1F44"/>
    <w:rsid w:val="008F3608"/>
    <w:rsid w:val="008F4295"/>
    <w:rsid w:val="008F584C"/>
    <w:rsid w:val="008F5C79"/>
    <w:rsid w:val="008F7A8C"/>
    <w:rsid w:val="00902F91"/>
    <w:rsid w:val="009061B4"/>
    <w:rsid w:val="00906467"/>
    <w:rsid w:val="00910814"/>
    <w:rsid w:val="00915B61"/>
    <w:rsid w:val="00921094"/>
    <w:rsid w:val="00921A72"/>
    <w:rsid w:val="009230D6"/>
    <w:rsid w:val="00923179"/>
    <w:rsid w:val="00925D59"/>
    <w:rsid w:val="0093084C"/>
    <w:rsid w:val="0093105A"/>
    <w:rsid w:val="00932EA6"/>
    <w:rsid w:val="009352D8"/>
    <w:rsid w:val="0093583F"/>
    <w:rsid w:val="00936278"/>
    <w:rsid w:val="0094005D"/>
    <w:rsid w:val="009414C7"/>
    <w:rsid w:val="00942A18"/>
    <w:rsid w:val="00943064"/>
    <w:rsid w:val="009461C8"/>
    <w:rsid w:val="00947E27"/>
    <w:rsid w:val="00950EA8"/>
    <w:rsid w:val="009541A9"/>
    <w:rsid w:val="009549BD"/>
    <w:rsid w:val="00955A18"/>
    <w:rsid w:val="0096020F"/>
    <w:rsid w:val="00961323"/>
    <w:rsid w:val="00961BA9"/>
    <w:rsid w:val="00962CCC"/>
    <w:rsid w:val="00964617"/>
    <w:rsid w:val="00966F7A"/>
    <w:rsid w:val="00967864"/>
    <w:rsid w:val="009706C4"/>
    <w:rsid w:val="0097081D"/>
    <w:rsid w:val="00974901"/>
    <w:rsid w:val="0097562F"/>
    <w:rsid w:val="009761D0"/>
    <w:rsid w:val="009822CD"/>
    <w:rsid w:val="0098376F"/>
    <w:rsid w:val="00983DBB"/>
    <w:rsid w:val="009853CD"/>
    <w:rsid w:val="009854D0"/>
    <w:rsid w:val="0098693F"/>
    <w:rsid w:val="009876BE"/>
    <w:rsid w:val="00990B16"/>
    <w:rsid w:val="00992847"/>
    <w:rsid w:val="00996EE6"/>
    <w:rsid w:val="00997C09"/>
    <w:rsid w:val="009A232B"/>
    <w:rsid w:val="009A2F81"/>
    <w:rsid w:val="009A394E"/>
    <w:rsid w:val="009A429F"/>
    <w:rsid w:val="009B1C25"/>
    <w:rsid w:val="009C2495"/>
    <w:rsid w:val="009C3F88"/>
    <w:rsid w:val="009C5AA7"/>
    <w:rsid w:val="009C5D7A"/>
    <w:rsid w:val="009D1913"/>
    <w:rsid w:val="009D1F8E"/>
    <w:rsid w:val="009D22D6"/>
    <w:rsid w:val="009D23F1"/>
    <w:rsid w:val="009D4058"/>
    <w:rsid w:val="009D619B"/>
    <w:rsid w:val="009D7771"/>
    <w:rsid w:val="009E1B73"/>
    <w:rsid w:val="009F0D83"/>
    <w:rsid w:val="009F1155"/>
    <w:rsid w:val="009F212D"/>
    <w:rsid w:val="009F2B17"/>
    <w:rsid w:val="009F3127"/>
    <w:rsid w:val="009F462D"/>
    <w:rsid w:val="009F5A5F"/>
    <w:rsid w:val="00A00AAC"/>
    <w:rsid w:val="00A049F0"/>
    <w:rsid w:val="00A06FB1"/>
    <w:rsid w:val="00A07194"/>
    <w:rsid w:val="00A1013C"/>
    <w:rsid w:val="00A135EF"/>
    <w:rsid w:val="00A1628C"/>
    <w:rsid w:val="00A20599"/>
    <w:rsid w:val="00A2064F"/>
    <w:rsid w:val="00A21E96"/>
    <w:rsid w:val="00A226E8"/>
    <w:rsid w:val="00A24791"/>
    <w:rsid w:val="00A249F1"/>
    <w:rsid w:val="00A24D4C"/>
    <w:rsid w:val="00A31748"/>
    <w:rsid w:val="00A3603D"/>
    <w:rsid w:val="00A36587"/>
    <w:rsid w:val="00A36AEB"/>
    <w:rsid w:val="00A36DF0"/>
    <w:rsid w:val="00A44DAC"/>
    <w:rsid w:val="00A52F32"/>
    <w:rsid w:val="00A5331C"/>
    <w:rsid w:val="00A53932"/>
    <w:rsid w:val="00A53E4B"/>
    <w:rsid w:val="00A54B46"/>
    <w:rsid w:val="00A54C50"/>
    <w:rsid w:val="00A56138"/>
    <w:rsid w:val="00A632EE"/>
    <w:rsid w:val="00A633A6"/>
    <w:rsid w:val="00A63F33"/>
    <w:rsid w:val="00A65EB2"/>
    <w:rsid w:val="00A6617B"/>
    <w:rsid w:val="00A66E1D"/>
    <w:rsid w:val="00A70629"/>
    <w:rsid w:val="00A712E0"/>
    <w:rsid w:val="00A7347C"/>
    <w:rsid w:val="00A73641"/>
    <w:rsid w:val="00A76F78"/>
    <w:rsid w:val="00A807C2"/>
    <w:rsid w:val="00A87FA0"/>
    <w:rsid w:val="00A9003C"/>
    <w:rsid w:val="00A90F41"/>
    <w:rsid w:val="00A92B41"/>
    <w:rsid w:val="00A934A7"/>
    <w:rsid w:val="00A946DC"/>
    <w:rsid w:val="00A9535B"/>
    <w:rsid w:val="00A95AB5"/>
    <w:rsid w:val="00A96B65"/>
    <w:rsid w:val="00A973FB"/>
    <w:rsid w:val="00A97895"/>
    <w:rsid w:val="00AA0476"/>
    <w:rsid w:val="00AA5BAC"/>
    <w:rsid w:val="00AB0656"/>
    <w:rsid w:val="00AB2CCE"/>
    <w:rsid w:val="00AB326A"/>
    <w:rsid w:val="00AB3812"/>
    <w:rsid w:val="00AB72F2"/>
    <w:rsid w:val="00AC3C02"/>
    <w:rsid w:val="00AC3EC4"/>
    <w:rsid w:val="00AC4B20"/>
    <w:rsid w:val="00AC4E1F"/>
    <w:rsid w:val="00AC504F"/>
    <w:rsid w:val="00AC5773"/>
    <w:rsid w:val="00AC7C83"/>
    <w:rsid w:val="00AC7FEF"/>
    <w:rsid w:val="00AD05AB"/>
    <w:rsid w:val="00AD0688"/>
    <w:rsid w:val="00AD46AE"/>
    <w:rsid w:val="00AD53A2"/>
    <w:rsid w:val="00AD7430"/>
    <w:rsid w:val="00AE131C"/>
    <w:rsid w:val="00AE21E5"/>
    <w:rsid w:val="00AE268C"/>
    <w:rsid w:val="00AE2F20"/>
    <w:rsid w:val="00AE4982"/>
    <w:rsid w:val="00AE4D81"/>
    <w:rsid w:val="00AE595A"/>
    <w:rsid w:val="00AE617E"/>
    <w:rsid w:val="00AE78AE"/>
    <w:rsid w:val="00AF0989"/>
    <w:rsid w:val="00AF1789"/>
    <w:rsid w:val="00AF1F44"/>
    <w:rsid w:val="00AF5961"/>
    <w:rsid w:val="00AF5D92"/>
    <w:rsid w:val="00AF5E01"/>
    <w:rsid w:val="00AF6868"/>
    <w:rsid w:val="00AF6EAC"/>
    <w:rsid w:val="00B00DD0"/>
    <w:rsid w:val="00B0297A"/>
    <w:rsid w:val="00B02AD2"/>
    <w:rsid w:val="00B02E53"/>
    <w:rsid w:val="00B03BBF"/>
    <w:rsid w:val="00B076FF"/>
    <w:rsid w:val="00B077DF"/>
    <w:rsid w:val="00B10593"/>
    <w:rsid w:val="00B113C7"/>
    <w:rsid w:val="00B14D41"/>
    <w:rsid w:val="00B17B50"/>
    <w:rsid w:val="00B2127C"/>
    <w:rsid w:val="00B2129C"/>
    <w:rsid w:val="00B223E5"/>
    <w:rsid w:val="00B243B0"/>
    <w:rsid w:val="00B25C65"/>
    <w:rsid w:val="00B25F6F"/>
    <w:rsid w:val="00B25F86"/>
    <w:rsid w:val="00B31B26"/>
    <w:rsid w:val="00B33A8A"/>
    <w:rsid w:val="00B34738"/>
    <w:rsid w:val="00B35883"/>
    <w:rsid w:val="00B35C0F"/>
    <w:rsid w:val="00B37455"/>
    <w:rsid w:val="00B43124"/>
    <w:rsid w:val="00B447C2"/>
    <w:rsid w:val="00B45CEA"/>
    <w:rsid w:val="00B47FC6"/>
    <w:rsid w:val="00B518B4"/>
    <w:rsid w:val="00B53241"/>
    <w:rsid w:val="00B5382F"/>
    <w:rsid w:val="00B55FDD"/>
    <w:rsid w:val="00B61138"/>
    <w:rsid w:val="00B620A6"/>
    <w:rsid w:val="00B64659"/>
    <w:rsid w:val="00B66615"/>
    <w:rsid w:val="00B67DB5"/>
    <w:rsid w:val="00B7019B"/>
    <w:rsid w:val="00B70429"/>
    <w:rsid w:val="00B71F39"/>
    <w:rsid w:val="00B731CD"/>
    <w:rsid w:val="00B778FA"/>
    <w:rsid w:val="00B77D88"/>
    <w:rsid w:val="00B802CB"/>
    <w:rsid w:val="00B82D19"/>
    <w:rsid w:val="00B82FE9"/>
    <w:rsid w:val="00B84A6D"/>
    <w:rsid w:val="00B85E87"/>
    <w:rsid w:val="00B86666"/>
    <w:rsid w:val="00B87CFF"/>
    <w:rsid w:val="00B87E3B"/>
    <w:rsid w:val="00B912A5"/>
    <w:rsid w:val="00B93D6F"/>
    <w:rsid w:val="00B94F60"/>
    <w:rsid w:val="00B976FB"/>
    <w:rsid w:val="00BA070E"/>
    <w:rsid w:val="00BA0C92"/>
    <w:rsid w:val="00BA0D1F"/>
    <w:rsid w:val="00BA18BA"/>
    <w:rsid w:val="00BA2698"/>
    <w:rsid w:val="00BA29FF"/>
    <w:rsid w:val="00BA3FB7"/>
    <w:rsid w:val="00BA725D"/>
    <w:rsid w:val="00BA7FBA"/>
    <w:rsid w:val="00BB2FC4"/>
    <w:rsid w:val="00BB3692"/>
    <w:rsid w:val="00BB384C"/>
    <w:rsid w:val="00BB3CDC"/>
    <w:rsid w:val="00BB5DB6"/>
    <w:rsid w:val="00BB5F70"/>
    <w:rsid w:val="00BB61AF"/>
    <w:rsid w:val="00BB6BE2"/>
    <w:rsid w:val="00BB704E"/>
    <w:rsid w:val="00BC01D5"/>
    <w:rsid w:val="00BC4D40"/>
    <w:rsid w:val="00BC4FC3"/>
    <w:rsid w:val="00BC59C5"/>
    <w:rsid w:val="00BC680D"/>
    <w:rsid w:val="00BD04D5"/>
    <w:rsid w:val="00BD0FF7"/>
    <w:rsid w:val="00BD14D2"/>
    <w:rsid w:val="00BD1675"/>
    <w:rsid w:val="00BD3FFE"/>
    <w:rsid w:val="00BD59A9"/>
    <w:rsid w:val="00BD6BDE"/>
    <w:rsid w:val="00BD721A"/>
    <w:rsid w:val="00BE2102"/>
    <w:rsid w:val="00BE259E"/>
    <w:rsid w:val="00BE41F3"/>
    <w:rsid w:val="00BE479F"/>
    <w:rsid w:val="00BE6A1F"/>
    <w:rsid w:val="00BF5FF0"/>
    <w:rsid w:val="00BF74A1"/>
    <w:rsid w:val="00C00DF0"/>
    <w:rsid w:val="00C03DC0"/>
    <w:rsid w:val="00C04C90"/>
    <w:rsid w:val="00C070A6"/>
    <w:rsid w:val="00C12F74"/>
    <w:rsid w:val="00C13018"/>
    <w:rsid w:val="00C14066"/>
    <w:rsid w:val="00C14CFB"/>
    <w:rsid w:val="00C17064"/>
    <w:rsid w:val="00C17914"/>
    <w:rsid w:val="00C220DA"/>
    <w:rsid w:val="00C24397"/>
    <w:rsid w:val="00C26773"/>
    <w:rsid w:val="00C26808"/>
    <w:rsid w:val="00C32054"/>
    <w:rsid w:val="00C3208F"/>
    <w:rsid w:val="00C34819"/>
    <w:rsid w:val="00C36589"/>
    <w:rsid w:val="00C36F60"/>
    <w:rsid w:val="00C370F0"/>
    <w:rsid w:val="00C3784D"/>
    <w:rsid w:val="00C37D79"/>
    <w:rsid w:val="00C40A17"/>
    <w:rsid w:val="00C4328F"/>
    <w:rsid w:val="00C46207"/>
    <w:rsid w:val="00C46957"/>
    <w:rsid w:val="00C474BB"/>
    <w:rsid w:val="00C50F17"/>
    <w:rsid w:val="00C53161"/>
    <w:rsid w:val="00C536E2"/>
    <w:rsid w:val="00C53B1D"/>
    <w:rsid w:val="00C55089"/>
    <w:rsid w:val="00C56C6D"/>
    <w:rsid w:val="00C56CA8"/>
    <w:rsid w:val="00C60511"/>
    <w:rsid w:val="00C6387A"/>
    <w:rsid w:val="00C63B34"/>
    <w:rsid w:val="00C64D82"/>
    <w:rsid w:val="00C66132"/>
    <w:rsid w:val="00C66D18"/>
    <w:rsid w:val="00C6791D"/>
    <w:rsid w:val="00C718ED"/>
    <w:rsid w:val="00C723A4"/>
    <w:rsid w:val="00C72B16"/>
    <w:rsid w:val="00C7369F"/>
    <w:rsid w:val="00C80D60"/>
    <w:rsid w:val="00C814F7"/>
    <w:rsid w:val="00C817F4"/>
    <w:rsid w:val="00C82A03"/>
    <w:rsid w:val="00C85A28"/>
    <w:rsid w:val="00C86D99"/>
    <w:rsid w:val="00C87776"/>
    <w:rsid w:val="00C87E3F"/>
    <w:rsid w:val="00C90719"/>
    <w:rsid w:val="00C9299D"/>
    <w:rsid w:val="00CA2687"/>
    <w:rsid w:val="00CA2ED6"/>
    <w:rsid w:val="00CA468F"/>
    <w:rsid w:val="00CA56F2"/>
    <w:rsid w:val="00CA5FAE"/>
    <w:rsid w:val="00CA6F16"/>
    <w:rsid w:val="00CB098A"/>
    <w:rsid w:val="00CB10E2"/>
    <w:rsid w:val="00CB3CED"/>
    <w:rsid w:val="00CB5161"/>
    <w:rsid w:val="00CB63D3"/>
    <w:rsid w:val="00CB69CC"/>
    <w:rsid w:val="00CC1CDE"/>
    <w:rsid w:val="00CC5550"/>
    <w:rsid w:val="00CC56AC"/>
    <w:rsid w:val="00CD04D4"/>
    <w:rsid w:val="00CD1603"/>
    <w:rsid w:val="00CD1FB8"/>
    <w:rsid w:val="00CD21AD"/>
    <w:rsid w:val="00CD321A"/>
    <w:rsid w:val="00CD52F8"/>
    <w:rsid w:val="00CD6F88"/>
    <w:rsid w:val="00CD711E"/>
    <w:rsid w:val="00CE12B5"/>
    <w:rsid w:val="00CE57A2"/>
    <w:rsid w:val="00CF11B8"/>
    <w:rsid w:val="00D00B29"/>
    <w:rsid w:val="00D04A24"/>
    <w:rsid w:val="00D05DED"/>
    <w:rsid w:val="00D10282"/>
    <w:rsid w:val="00D106F3"/>
    <w:rsid w:val="00D1184B"/>
    <w:rsid w:val="00D15F05"/>
    <w:rsid w:val="00D15FB6"/>
    <w:rsid w:val="00D17035"/>
    <w:rsid w:val="00D17887"/>
    <w:rsid w:val="00D204FC"/>
    <w:rsid w:val="00D223D0"/>
    <w:rsid w:val="00D247D6"/>
    <w:rsid w:val="00D24EC9"/>
    <w:rsid w:val="00D26BED"/>
    <w:rsid w:val="00D30822"/>
    <w:rsid w:val="00D317DC"/>
    <w:rsid w:val="00D32DE9"/>
    <w:rsid w:val="00D3429D"/>
    <w:rsid w:val="00D36016"/>
    <w:rsid w:val="00D37C85"/>
    <w:rsid w:val="00D40CDB"/>
    <w:rsid w:val="00D414CF"/>
    <w:rsid w:val="00D43188"/>
    <w:rsid w:val="00D44061"/>
    <w:rsid w:val="00D44EB7"/>
    <w:rsid w:val="00D45A62"/>
    <w:rsid w:val="00D467AC"/>
    <w:rsid w:val="00D46F41"/>
    <w:rsid w:val="00D54BF3"/>
    <w:rsid w:val="00D55F20"/>
    <w:rsid w:val="00D5601B"/>
    <w:rsid w:val="00D5692E"/>
    <w:rsid w:val="00D574AD"/>
    <w:rsid w:val="00D61E24"/>
    <w:rsid w:val="00D638A6"/>
    <w:rsid w:val="00D65AA2"/>
    <w:rsid w:val="00D66418"/>
    <w:rsid w:val="00D73725"/>
    <w:rsid w:val="00D7498A"/>
    <w:rsid w:val="00D804A1"/>
    <w:rsid w:val="00D80AFF"/>
    <w:rsid w:val="00D80FFC"/>
    <w:rsid w:val="00D815AE"/>
    <w:rsid w:val="00D82097"/>
    <w:rsid w:val="00D840DC"/>
    <w:rsid w:val="00D91D2F"/>
    <w:rsid w:val="00D92EFC"/>
    <w:rsid w:val="00D94D0E"/>
    <w:rsid w:val="00D95B54"/>
    <w:rsid w:val="00D967CE"/>
    <w:rsid w:val="00D97166"/>
    <w:rsid w:val="00DA0140"/>
    <w:rsid w:val="00DA0470"/>
    <w:rsid w:val="00DA0FF9"/>
    <w:rsid w:val="00DA2128"/>
    <w:rsid w:val="00DA3B2D"/>
    <w:rsid w:val="00DA4AFE"/>
    <w:rsid w:val="00DA71E2"/>
    <w:rsid w:val="00DA7BB8"/>
    <w:rsid w:val="00DB3234"/>
    <w:rsid w:val="00DB4689"/>
    <w:rsid w:val="00DB5BB1"/>
    <w:rsid w:val="00DB63DC"/>
    <w:rsid w:val="00DB74E7"/>
    <w:rsid w:val="00DB7680"/>
    <w:rsid w:val="00DB7E30"/>
    <w:rsid w:val="00DC076C"/>
    <w:rsid w:val="00DC3880"/>
    <w:rsid w:val="00DC522D"/>
    <w:rsid w:val="00DC59A0"/>
    <w:rsid w:val="00DD6175"/>
    <w:rsid w:val="00DD63CF"/>
    <w:rsid w:val="00DD68EB"/>
    <w:rsid w:val="00DD6909"/>
    <w:rsid w:val="00DD79BA"/>
    <w:rsid w:val="00DE0218"/>
    <w:rsid w:val="00DE038C"/>
    <w:rsid w:val="00DE0C2C"/>
    <w:rsid w:val="00DE26EB"/>
    <w:rsid w:val="00DE2A42"/>
    <w:rsid w:val="00DE315E"/>
    <w:rsid w:val="00DE41FE"/>
    <w:rsid w:val="00DE4F55"/>
    <w:rsid w:val="00DE56D1"/>
    <w:rsid w:val="00DE7172"/>
    <w:rsid w:val="00DE7B9C"/>
    <w:rsid w:val="00DF06D2"/>
    <w:rsid w:val="00DF1D30"/>
    <w:rsid w:val="00DF57AD"/>
    <w:rsid w:val="00DF5D4B"/>
    <w:rsid w:val="00DF5E20"/>
    <w:rsid w:val="00DF603C"/>
    <w:rsid w:val="00DF78AB"/>
    <w:rsid w:val="00E0394C"/>
    <w:rsid w:val="00E04A34"/>
    <w:rsid w:val="00E06906"/>
    <w:rsid w:val="00E1113A"/>
    <w:rsid w:val="00E117D8"/>
    <w:rsid w:val="00E122EC"/>
    <w:rsid w:val="00E12A0E"/>
    <w:rsid w:val="00E15F79"/>
    <w:rsid w:val="00E161D1"/>
    <w:rsid w:val="00E16831"/>
    <w:rsid w:val="00E17290"/>
    <w:rsid w:val="00E215CA"/>
    <w:rsid w:val="00E21737"/>
    <w:rsid w:val="00E21A75"/>
    <w:rsid w:val="00E24725"/>
    <w:rsid w:val="00E24A8F"/>
    <w:rsid w:val="00E24C1A"/>
    <w:rsid w:val="00E259CC"/>
    <w:rsid w:val="00E25E2F"/>
    <w:rsid w:val="00E27406"/>
    <w:rsid w:val="00E316CE"/>
    <w:rsid w:val="00E31736"/>
    <w:rsid w:val="00E31ACA"/>
    <w:rsid w:val="00E32CFB"/>
    <w:rsid w:val="00E364E7"/>
    <w:rsid w:val="00E37040"/>
    <w:rsid w:val="00E3749E"/>
    <w:rsid w:val="00E37D61"/>
    <w:rsid w:val="00E41D76"/>
    <w:rsid w:val="00E423FD"/>
    <w:rsid w:val="00E4290F"/>
    <w:rsid w:val="00E46A7C"/>
    <w:rsid w:val="00E47AE1"/>
    <w:rsid w:val="00E51EDA"/>
    <w:rsid w:val="00E550C9"/>
    <w:rsid w:val="00E555D6"/>
    <w:rsid w:val="00E56201"/>
    <w:rsid w:val="00E5634D"/>
    <w:rsid w:val="00E577DB"/>
    <w:rsid w:val="00E6257E"/>
    <w:rsid w:val="00E646AF"/>
    <w:rsid w:val="00E70927"/>
    <w:rsid w:val="00E72EBC"/>
    <w:rsid w:val="00E7388D"/>
    <w:rsid w:val="00E7688F"/>
    <w:rsid w:val="00E77BEC"/>
    <w:rsid w:val="00E82E90"/>
    <w:rsid w:val="00E847F7"/>
    <w:rsid w:val="00E90AD4"/>
    <w:rsid w:val="00EA0249"/>
    <w:rsid w:val="00EA05A0"/>
    <w:rsid w:val="00EA2758"/>
    <w:rsid w:val="00EA5A12"/>
    <w:rsid w:val="00EA689D"/>
    <w:rsid w:val="00EA6ED8"/>
    <w:rsid w:val="00EB6593"/>
    <w:rsid w:val="00EB6E5C"/>
    <w:rsid w:val="00EB6E5E"/>
    <w:rsid w:val="00EC0AD1"/>
    <w:rsid w:val="00ED0A68"/>
    <w:rsid w:val="00ED1A7C"/>
    <w:rsid w:val="00ED2AE3"/>
    <w:rsid w:val="00ED457B"/>
    <w:rsid w:val="00ED4731"/>
    <w:rsid w:val="00ED575A"/>
    <w:rsid w:val="00ED6F82"/>
    <w:rsid w:val="00EE0E1E"/>
    <w:rsid w:val="00EE26DD"/>
    <w:rsid w:val="00EE2BDB"/>
    <w:rsid w:val="00EE378F"/>
    <w:rsid w:val="00EE6D2C"/>
    <w:rsid w:val="00EE6D5F"/>
    <w:rsid w:val="00EF0713"/>
    <w:rsid w:val="00EF494A"/>
    <w:rsid w:val="00F0049C"/>
    <w:rsid w:val="00F00938"/>
    <w:rsid w:val="00F0311D"/>
    <w:rsid w:val="00F03DA4"/>
    <w:rsid w:val="00F055C4"/>
    <w:rsid w:val="00F10F0A"/>
    <w:rsid w:val="00F1158D"/>
    <w:rsid w:val="00F11900"/>
    <w:rsid w:val="00F12D1A"/>
    <w:rsid w:val="00F15CA3"/>
    <w:rsid w:val="00F1756D"/>
    <w:rsid w:val="00F17E12"/>
    <w:rsid w:val="00F2169E"/>
    <w:rsid w:val="00F2308C"/>
    <w:rsid w:val="00F23C07"/>
    <w:rsid w:val="00F26ED7"/>
    <w:rsid w:val="00F2774C"/>
    <w:rsid w:val="00F30CE3"/>
    <w:rsid w:val="00F31838"/>
    <w:rsid w:val="00F31F6F"/>
    <w:rsid w:val="00F35888"/>
    <w:rsid w:val="00F36642"/>
    <w:rsid w:val="00F42543"/>
    <w:rsid w:val="00F4335E"/>
    <w:rsid w:val="00F43688"/>
    <w:rsid w:val="00F43CE9"/>
    <w:rsid w:val="00F43D2E"/>
    <w:rsid w:val="00F44038"/>
    <w:rsid w:val="00F4485B"/>
    <w:rsid w:val="00F466F7"/>
    <w:rsid w:val="00F471D2"/>
    <w:rsid w:val="00F52726"/>
    <w:rsid w:val="00F52A47"/>
    <w:rsid w:val="00F61D9B"/>
    <w:rsid w:val="00F651B0"/>
    <w:rsid w:val="00F658AA"/>
    <w:rsid w:val="00F67285"/>
    <w:rsid w:val="00F675F4"/>
    <w:rsid w:val="00F71A58"/>
    <w:rsid w:val="00F726D5"/>
    <w:rsid w:val="00F73007"/>
    <w:rsid w:val="00F746C0"/>
    <w:rsid w:val="00F7604B"/>
    <w:rsid w:val="00F769C2"/>
    <w:rsid w:val="00F771A1"/>
    <w:rsid w:val="00F80522"/>
    <w:rsid w:val="00F81B51"/>
    <w:rsid w:val="00F83202"/>
    <w:rsid w:val="00F8437A"/>
    <w:rsid w:val="00F84D25"/>
    <w:rsid w:val="00F84F1A"/>
    <w:rsid w:val="00F85A97"/>
    <w:rsid w:val="00F874E5"/>
    <w:rsid w:val="00F9023F"/>
    <w:rsid w:val="00F90709"/>
    <w:rsid w:val="00F9175D"/>
    <w:rsid w:val="00F92275"/>
    <w:rsid w:val="00F92B51"/>
    <w:rsid w:val="00F933B5"/>
    <w:rsid w:val="00F94157"/>
    <w:rsid w:val="00F96800"/>
    <w:rsid w:val="00F96A35"/>
    <w:rsid w:val="00FA124B"/>
    <w:rsid w:val="00FA18D1"/>
    <w:rsid w:val="00FA1F0F"/>
    <w:rsid w:val="00FA4390"/>
    <w:rsid w:val="00FA6916"/>
    <w:rsid w:val="00FA72E1"/>
    <w:rsid w:val="00FA7322"/>
    <w:rsid w:val="00FB0A0C"/>
    <w:rsid w:val="00FB456F"/>
    <w:rsid w:val="00FB5A11"/>
    <w:rsid w:val="00FB6AE0"/>
    <w:rsid w:val="00FB71D6"/>
    <w:rsid w:val="00FC22DF"/>
    <w:rsid w:val="00FC3D8B"/>
    <w:rsid w:val="00FC57B6"/>
    <w:rsid w:val="00FC5CDC"/>
    <w:rsid w:val="00FC6328"/>
    <w:rsid w:val="00FC6A3B"/>
    <w:rsid w:val="00FD3CF4"/>
    <w:rsid w:val="00FD5C4C"/>
    <w:rsid w:val="00FD6488"/>
    <w:rsid w:val="00FE14CD"/>
    <w:rsid w:val="00FE28DB"/>
    <w:rsid w:val="00FE2B93"/>
    <w:rsid w:val="00FE34B7"/>
    <w:rsid w:val="00FF0E9C"/>
    <w:rsid w:val="00FF2724"/>
    <w:rsid w:val="00FF27F6"/>
    <w:rsid w:val="00FF43CF"/>
    <w:rsid w:val="00FF5345"/>
    <w:rsid w:val="00FF5B1E"/>
    <w:rsid w:val="00FF6483"/>
    <w:rsid w:val="06FE1131"/>
    <w:rsid w:val="0C3641C4"/>
    <w:rsid w:val="16CB6722"/>
    <w:rsid w:val="193C5B45"/>
    <w:rsid w:val="1A16330E"/>
    <w:rsid w:val="1D084AE3"/>
    <w:rsid w:val="22445434"/>
    <w:rsid w:val="247D2770"/>
    <w:rsid w:val="24977511"/>
    <w:rsid w:val="27E36B15"/>
    <w:rsid w:val="375B546A"/>
    <w:rsid w:val="41D76F6F"/>
    <w:rsid w:val="42FB5A00"/>
    <w:rsid w:val="43D71909"/>
    <w:rsid w:val="4A0D0439"/>
    <w:rsid w:val="4C2A549B"/>
    <w:rsid w:val="591677C6"/>
    <w:rsid w:val="702C6C47"/>
    <w:rsid w:val="73C07507"/>
    <w:rsid w:val="7D1C3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5">
    <w:name w:val="Body Text"/>
    <w:basedOn w:val="1"/>
    <w:qFormat/>
    <w:uiPriority w:val="0"/>
    <w:pPr>
      <w:adjustRightInd w:val="0"/>
      <w:jc w:val="left"/>
      <w:textAlignment w:val="baseline"/>
    </w:pPr>
    <w:rPr>
      <w:rFonts w:eastAsia="宋体"/>
      <w:kern w:val="0"/>
      <w:szCs w:val="20"/>
    </w:rPr>
  </w:style>
  <w:style w:type="paragraph" w:styleId="6">
    <w:name w:val="Plain Text"/>
    <w:basedOn w:val="1"/>
    <w:link w:val="18"/>
    <w:qFormat/>
    <w:uiPriority w:val="99"/>
    <w:rPr>
      <w:rFonts w:ascii="宋体" w:hAnsi="Courier New" w:eastAsia="宋体" w:cs="Times New Roman"/>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2"/>
    <w:semiHidden/>
    <w:unhideWhenUsed/>
    <w:qFormat/>
    <w:uiPriority w:val="99"/>
    <w:pPr>
      <w:snapToGrid w:val="0"/>
      <w:jc w:val="left"/>
    </w:pPr>
    <w:rPr>
      <w:sz w:val="18"/>
      <w:szCs w:val="18"/>
    </w:rPr>
  </w:style>
  <w:style w:type="paragraph" w:styleId="11">
    <w:name w:val="Body Text Indent 3"/>
    <w:basedOn w:val="1"/>
    <w:qFormat/>
    <w:uiPriority w:val="0"/>
    <w:pPr>
      <w:adjustRightInd w:val="0"/>
      <w:spacing w:line="324" w:lineRule="auto"/>
      <w:ind w:firstLine="600" w:firstLineChars="200"/>
      <w:jc w:val="left"/>
      <w:textAlignment w:val="baseline"/>
    </w:pPr>
    <w:rPr>
      <w:sz w:val="30"/>
      <w:szCs w:val="20"/>
    </w:rPr>
  </w:style>
  <w:style w:type="paragraph" w:styleId="12">
    <w:name w:val="Title"/>
    <w:basedOn w:val="1"/>
    <w:next w:val="1"/>
    <w:qFormat/>
    <w:uiPriority w:val="10"/>
    <w:pPr>
      <w:spacing w:before="240" w:after="60"/>
      <w:jc w:val="center"/>
      <w:outlineLvl w:val="0"/>
    </w:pPr>
    <w:rPr>
      <w:rFonts w:ascii="Calibri Light" w:hAnsi="Calibri Light"/>
      <w:b/>
      <w:bCs/>
      <w:kern w:val="0"/>
      <w:szCs w:val="32"/>
    </w:rPr>
  </w:style>
  <w:style w:type="character" w:styleId="15">
    <w:name w:val="footnote reference"/>
    <w:basedOn w:val="14"/>
    <w:semiHidden/>
    <w:unhideWhenUsed/>
    <w:qFormat/>
    <w:uiPriority w:val="99"/>
    <w:rPr>
      <w:vertAlign w:val="superscript"/>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纯文本 Char"/>
    <w:basedOn w:val="14"/>
    <w:link w:val="6"/>
    <w:qFormat/>
    <w:uiPriority w:val="99"/>
    <w:rPr>
      <w:rFonts w:ascii="宋体" w:hAnsi="Courier New" w:eastAsia="宋体" w:cs="Times New Roman"/>
      <w:szCs w:val="24"/>
    </w:rPr>
  </w:style>
  <w:style w:type="character" w:customStyle="1" w:styleId="19">
    <w:name w:val="标题 2 Char"/>
    <w:basedOn w:val="14"/>
    <w:link w:val="3"/>
    <w:qFormat/>
    <w:uiPriority w:val="9"/>
    <w:rPr>
      <w:rFonts w:asciiTheme="majorHAnsi" w:hAnsiTheme="majorHAnsi" w:eastAsiaTheme="majorEastAsia" w:cstheme="majorBidi"/>
      <w:b/>
      <w:bCs/>
      <w:sz w:val="32"/>
      <w:szCs w:val="32"/>
    </w:rPr>
  </w:style>
  <w:style w:type="character" w:customStyle="1" w:styleId="20">
    <w:name w:val="标题 3 Char"/>
    <w:basedOn w:val="14"/>
    <w:link w:val="4"/>
    <w:qFormat/>
    <w:uiPriority w:val="9"/>
    <w:rPr>
      <w:b/>
      <w:bCs/>
      <w:sz w:val="32"/>
      <w:szCs w:val="32"/>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脚注文本 Char"/>
    <w:basedOn w:val="14"/>
    <w:link w:val="10"/>
    <w:semiHidden/>
    <w:qFormat/>
    <w:uiPriority w:val="99"/>
    <w:rPr>
      <w:sz w:val="18"/>
      <w:szCs w:val="18"/>
    </w:rPr>
  </w:style>
  <w:style w:type="character" w:customStyle="1" w:styleId="23">
    <w:name w:val="批注框文本 Char"/>
    <w:basedOn w:val="14"/>
    <w:link w:val="7"/>
    <w:semiHidden/>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E7ADF-4E44-45E6-BE2E-4D4248F154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6287</Words>
  <Characters>6385</Characters>
  <Lines>7</Lines>
  <Paragraphs>2</Paragraphs>
  <TotalTime>21</TotalTime>
  <ScaleCrop>false</ScaleCrop>
  <LinksUpToDate>false</LinksUpToDate>
  <CharactersWithSpaces>7390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2021-04-27T08:18:00Z</dcterms:created>
  <dc:creator>王晨铖</dc:creator>
  <cp:lastModifiedBy>lan</cp:lastModifiedBy>
  <cp:lastPrinted>2022-04-19T01:36:00Z</cp:lastPrinted>
  <dcterms:modified xsi:type="dcterms:W3CDTF">2022-04-19T07:43:22Z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0ECA606FC7464362818D6094FB4F5253</vt:lpwstr>
  </property>
  <property fmtid="{D5CDD505-2E9C-101B-9397-08002B2CF9AE}" pid="4" name="commondata">
    <vt:lpwstr>eyJoZGlkIjoiNDZlNWFhYzBjZTBiNWRiNTc0ZDkzNWVlMDk2ZDBkYzYifQ==</vt:lpwstr>
  </property>
</Properties>
</file>