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left"/>
        <w:rPr>
          <w:rFonts w:ascii="等线" w:hAnsi="等线" w:eastAsia="黑体" w:cs="Times New Roman"/>
          <w:kern w:val="2"/>
          <w:sz w:val="36"/>
          <w:szCs w:val="22"/>
          <w:lang w:val="en-US" w:eastAsia="zh-CN" w:bidi="ar-SA"/>
        </w:rPr>
      </w:pPr>
    </w:p>
    <w:p>
      <w:pPr>
        <w:keepNext w:val="0"/>
        <w:keepLines w:val="0"/>
        <w:pageBreakBefore w:val="0"/>
        <w:widowControl w:val="0"/>
        <w:kinsoku/>
        <w:wordWrap/>
        <w:overflowPunct/>
        <w:topLinePunct w:val="0"/>
        <w:autoSpaceDE/>
        <w:autoSpaceDN/>
        <w:bidi w:val="0"/>
        <w:adjustRightInd/>
        <w:snapToGrid w:val="0"/>
        <w:jc w:val="center"/>
        <w:textAlignment w:val="baseline"/>
        <w:rPr>
          <w:rFonts w:hint="eastAsia" w:ascii="方正小标宋简体" w:hAnsi="方正小标宋简体" w:eastAsia="方正小标宋简体" w:cs="方正小标宋简体"/>
          <w:bCs/>
          <w:color w:val="000000"/>
          <w:sz w:val="48"/>
          <w:szCs w:val="48"/>
          <w:highlight w:val="none"/>
        </w:rPr>
      </w:pPr>
      <w:r>
        <w:rPr>
          <w:rFonts w:hint="eastAsia" w:ascii="方正小标宋简体" w:hAnsi="方正小标宋简体" w:eastAsia="方正小标宋简体" w:cs="方正小标宋简体"/>
          <w:bCs/>
          <w:color w:val="000000"/>
          <w:sz w:val="48"/>
          <w:szCs w:val="48"/>
          <w:highlight w:val="none"/>
        </w:rPr>
        <w:t>北京市西城区“十四五”时期</w:t>
      </w:r>
    </w:p>
    <w:p>
      <w:pPr>
        <w:keepNext w:val="0"/>
        <w:keepLines w:val="0"/>
        <w:pageBreakBefore w:val="0"/>
        <w:widowControl w:val="0"/>
        <w:kinsoku/>
        <w:wordWrap/>
        <w:overflowPunct/>
        <w:topLinePunct w:val="0"/>
        <w:autoSpaceDE/>
        <w:autoSpaceDN/>
        <w:bidi w:val="0"/>
        <w:adjustRightInd/>
        <w:snapToGrid w:val="0"/>
        <w:jc w:val="center"/>
        <w:textAlignment w:val="baseline"/>
        <w:rPr>
          <w:rFonts w:ascii="方正小标宋简体" w:hAnsi="等线" w:eastAsia="方正小标宋简体" w:cs="等线"/>
          <w:bCs/>
          <w:color w:val="000000"/>
          <w:sz w:val="52"/>
          <w:szCs w:val="52"/>
          <w:highlight w:val="none"/>
        </w:rPr>
      </w:pPr>
      <w:r>
        <w:rPr>
          <w:rFonts w:hint="eastAsia" w:ascii="方正小标宋简体" w:hAnsi="方正小标宋简体" w:eastAsia="方正小标宋简体" w:cs="方正小标宋简体"/>
          <w:bCs/>
          <w:color w:val="000000"/>
          <w:sz w:val="48"/>
          <w:szCs w:val="48"/>
          <w:highlight w:val="none"/>
        </w:rPr>
        <w:t>基本公共服务发展规划</w:t>
      </w:r>
    </w:p>
    <w:p>
      <w:pPr>
        <w:spacing w:before="156" w:after="156"/>
        <w:jc w:val="both"/>
        <w:textAlignment w:val="baseline"/>
        <w:rPr>
          <w:rFonts w:hint="eastAsia" w:ascii="楷体_GB2312" w:hAnsi="楷体_GB2312" w:eastAsia="楷体_GB2312" w:cs="楷体_GB2312"/>
          <w:bCs/>
          <w:color w:val="000000"/>
          <w:sz w:val="36"/>
          <w:szCs w:val="36"/>
          <w:highlight w:val="none"/>
          <w:lang w:val="en-US" w:eastAsia="zh-CN"/>
        </w:rPr>
      </w:pPr>
    </w:p>
    <w:p>
      <w:pPr>
        <w:spacing w:line="360" w:lineRule="auto"/>
        <w:textAlignment w:val="baseline"/>
        <w:rPr>
          <w:rFonts w:ascii="Times New Roman" w:hAnsi="Times New Roman" w:eastAsia="仿宋_GB2312" w:cs="Times New Roman"/>
          <w:sz w:val="24"/>
          <w:szCs w:val="24"/>
          <w:highlight w:val="none"/>
        </w:rPr>
        <w:sectPr>
          <w:footerReference r:id="rId3" w:type="default"/>
          <w:pgSz w:w="11906" w:h="16838"/>
          <w:pgMar w:top="2098" w:right="1474" w:bottom="1984" w:left="1587" w:header="1417" w:footer="1417" w:gutter="0"/>
          <w:pgNumType w:fmt="numberInDash"/>
          <w:cols w:space="720" w:num="1"/>
          <w:docGrid w:type="lines" w:linePitch="312" w:charSpace="0"/>
        </w:sectPr>
      </w:pPr>
    </w:p>
    <w:p>
      <w:pPr>
        <w:keepNext w:val="0"/>
        <w:keepLines w:val="0"/>
        <w:pageBreakBefore w:val="0"/>
        <w:kinsoku/>
        <w:wordWrap/>
        <w:overflowPunct/>
        <w:topLinePunct w:val="0"/>
        <w:autoSpaceDE/>
        <w:autoSpaceDN/>
        <w:bidi w:val="0"/>
        <w:adjustRightInd/>
        <w:snapToGrid w:val="0"/>
        <w:spacing w:before="156" w:after="156"/>
        <w:jc w:val="center"/>
        <w:textAlignment w:val="baseline"/>
        <w:rPr>
          <w:rFonts w:hint="eastAsia" w:ascii="方正小标宋简体" w:hAnsi="方正小标宋简体" w:eastAsia="方正小标宋简体" w:cs="方正小标宋简体"/>
          <w:kern w:val="0"/>
          <w:sz w:val="48"/>
          <w:szCs w:val="48"/>
          <w:highlight w:val="none"/>
        </w:rPr>
      </w:pPr>
      <w:r>
        <w:rPr>
          <w:rFonts w:hint="eastAsia" w:ascii="方正小标宋简体" w:hAnsi="方正小标宋简体" w:eastAsia="方正小标宋简体" w:cs="方正小标宋简体"/>
          <w:kern w:val="0"/>
          <w:sz w:val="48"/>
          <w:szCs w:val="48"/>
          <w:highlight w:val="none"/>
        </w:rPr>
        <w:t>目  录</w:t>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jc w:val="both"/>
        <w:textAlignment w:val="auto"/>
        <w:rPr>
          <w:rFonts w:hint="eastAsia" w:ascii="黑体" w:hAnsi="黑体" w:eastAsia="黑体" w:cs="黑体"/>
          <w:kern w:val="2"/>
          <w:sz w:val="36"/>
          <w:szCs w:val="36"/>
          <w:highlight w:val="none"/>
          <w:lang w:val="en-US" w:eastAsia="zh-CN" w:bidi="ar-SA"/>
        </w:rPr>
      </w:pPr>
      <w:r>
        <w:rPr>
          <w:rFonts w:ascii="Times New Roman" w:hAnsi="Times New Roman" w:eastAsia="楷体" w:cs="Times New Roman"/>
          <w:kern w:val="2"/>
          <w:sz w:val="28"/>
          <w:szCs w:val="28"/>
          <w:highlight w:val="none"/>
          <w:lang w:val="en-US" w:eastAsia="zh-CN" w:bidi="ar-SA"/>
        </w:rPr>
        <w:fldChar w:fldCharType="begin"/>
      </w:r>
      <w:r>
        <w:rPr>
          <w:rFonts w:ascii="Times New Roman" w:hAnsi="Times New Roman" w:eastAsia="楷体" w:cs="Times New Roman"/>
          <w:kern w:val="2"/>
          <w:sz w:val="28"/>
          <w:szCs w:val="28"/>
          <w:highlight w:val="none"/>
          <w:lang w:val="en-US" w:eastAsia="zh-CN" w:bidi="ar-SA"/>
        </w:rPr>
        <w:instrText xml:space="preserve"> TOC \o "1-3" \h \z \u </w:instrText>
      </w:r>
      <w:r>
        <w:rPr>
          <w:rFonts w:ascii="Times New Roman" w:hAnsi="Times New Roman" w:eastAsia="楷体" w:cs="Times New Roman"/>
          <w:kern w:val="2"/>
          <w:sz w:val="28"/>
          <w:szCs w:val="28"/>
          <w:highlight w:val="none"/>
          <w:lang w:val="en-US" w:eastAsia="zh-CN" w:bidi="ar-SA"/>
        </w:rPr>
        <w:fldChar w:fldCharType="separate"/>
      </w:r>
      <w:r>
        <w:rPr>
          <w:rFonts w:hint="eastAsia" w:ascii="黑体" w:hAnsi="黑体" w:eastAsia="黑体" w:cs="黑体"/>
          <w:kern w:val="2"/>
          <w:sz w:val="36"/>
          <w:szCs w:val="36"/>
          <w:highlight w:val="none"/>
          <w:lang w:val="en-US" w:eastAsia="zh-CN" w:bidi="ar-SA"/>
        </w:rPr>
        <w:fldChar w:fldCharType="begin"/>
      </w:r>
      <w:r>
        <w:rPr>
          <w:rFonts w:hint="eastAsia" w:ascii="黑体" w:hAnsi="黑体" w:eastAsia="黑体" w:cs="黑体"/>
          <w:kern w:val="2"/>
          <w:sz w:val="36"/>
          <w:szCs w:val="36"/>
          <w:highlight w:val="none"/>
          <w:lang w:val="en-US" w:eastAsia="zh-CN" w:bidi="ar-SA"/>
        </w:rPr>
        <w:instrText xml:space="preserve"> HYPERLINK \l "_Toc70297245" </w:instrText>
      </w:r>
      <w:r>
        <w:rPr>
          <w:rFonts w:hint="eastAsia" w:ascii="黑体" w:hAnsi="黑体" w:eastAsia="黑体" w:cs="黑体"/>
          <w:kern w:val="2"/>
          <w:sz w:val="36"/>
          <w:szCs w:val="36"/>
          <w:highlight w:val="none"/>
          <w:lang w:val="en-US" w:eastAsia="zh-CN" w:bidi="ar-SA"/>
        </w:rPr>
        <w:fldChar w:fldCharType="separate"/>
      </w:r>
      <w:r>
        <w:rPr>
          <w:rFonts w:hint="eastAsia" w:ascii="黑体" w:hAnsi="黑体" w:eastAsia="黑体" w:cs="黑体"/>
          <w:kern w:val="2"/>
          <w:sz w:val="36"/>
          <w:szCs w:val="36"/>
          <w:highlight w:val="none"/>
          <w:lang w:val="en-US" w:eastAsia="zh-CN" w:bidi="ar-SA"/>
        </w:rPr>
        <w:t>序 言</w:t>
      </w:r>
      <w:r>
        <w:rPr>
          <w:rFonts w:hint="eastAsia" w:ascii="黑体" w:hAnsi="黑体" w:eastAsia="黑体" w:cs="黑体"/>
          <w:kern w:val="2"/>
          <w:sz w:val="36"/>
          <w:szCs w:val="36"/>
          <w:highlight w:val="none"/>
          <w:lang w:val="en-US" w:eastAsia="zh-CN" w:bidi="ar-SA"/>
        </w:rPr>
        <w:tab/>
      </w:r>
      <w:r>
        <w:rPr>
          <w:rFonts w:hint="eastAsia" w:ascii="黑体" w:hAnsi="黑体" w:eastAsia="黑体" w:cs="黑体"/>
          <w:kern w:val="2"/>
          <w:sz w:val="36"/>
          <w:szCs w:val="36"/>
          <w:highlight w:val="none"/>
          <w:lang w:val="en-US" w:eastAsia="zh-CN" w:bidi="ar-SA"/>
        </w:rPr>
        <w:t>1</w:t>
      </w:r>
      <w:r>
        <w:rPr>
          <w:rFonts w:hint="eastAsia" w:ascii="黑体" w:hAnsi="黑体" w:eastAsia="黑体" w:cs="黑体"/>
          <w:kern w:val="2"/>
          <w:sz w:val="36"/>
          <w:szCs w:val="36"/>
          <w:highlight w:val="none"/>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jc w:val="both"/>
        <w:textAlignment w:val="auto"/>
        <w:rPr>
          <w:rFonts w:hint="eastAsia" w:ascii="黑体" w:hAnsi="黑体" w:eastAsia="黑体" w:cs="黑体"/>
          <w:kern w:val="2"/>
          <w:sz w:val="36"/>
          <w:szCs w:val="36"/>
          <w:highlight w:val="none"/>
          <w:lang w:val="en-US" w:eastAsia="zh-CN" w:bidi="ar-SA"/>
        </w:rPr>
      </w:pPr>
      <w:r>
        <w:rPr>
          <w:rFonts w:hint="eastAsia" w:ascii="黑体" w:hAnsi="黑体" w:eastAsia="黑体" w:cs="黑体"/>
          <w:kern w:val="2"/>
          <w:sz w:val="36"/>
          <w:szCs w:val="36"/>
          <w:highlight w:val="none"/>
          <w:lang w:val="en-US" w:eastAsia="zh-CN" w:bidi="ar-SA"/>
        </w:rPr>
        <w:fldChar w:fldCharType="begin"/>
      </w:r>
      <w:r>
        <w:rPr>
          <w:rFonts w:hint="eastAsia" w:ascii="黑体" w:hAnsi="黑体" w:eastAsia="黑体" w:cs="黑体"/>
          <w:kern w:val="2"/>
          <w:sz w:val="36"/>
          <w:szCs w:val="36"/>
          <w:highlight w:val="none"/>
          <w:lang w:val="en-US" w:eastAsia="zh-CN" w:bidi="ar-SA"/>
        </w:rPr>
        <w:instrText xml:space="preserve"> HYPERLINK \l "_Toc70297246" </w:instrText>
      </w:r>
      <w:r>
        <w:rPr>
          <w:rFonts w:hint="eastAsia" w:ascii="黑体" w:hAnsi="黑体" w:eastAsia="黑体" w:cs="黑体"/>
          <w:kern w:val="2"/>
          <w:sz w:val="36"/>
          <w:szCs w:val="36"/>
          <w:highlight w:val="none"/>
          <w:lang w:val="en-US" w:eastAsia="zh-CN" w:bidi="ar-SA"/>
        </w:rPr>
        <w:fldChar w:fldCharType="separate"/>
      </w:r>
      <w:r>
        <w:rPr>
          <w:rFonts w:hint="eastAsia" w:ascii="黑体" w:hAnsi="黑体" w:eastAsia="黑体" w:cs="黑体"/>
          <w:kern w:val="2"/>
          <w:sz w:val="36"/>
          <w:szCs w:val="36"/>
          <w:highlight w:val="none"/>
          <w:lang w:val="en-US" w:eastAsia="zh-CN" w:bidi="ar-SA"/>
        </w:rPr>
        <w:t>第一章 规划背景</w:t>
      </w:r>
      <w:r>
        <w:rPr>
          <w:rFonts w:hint="eastAsia" w:ascii="黑体" w:hAnsi="黑体" w:eastAsia="黑体" w:cs="黑体"/>
          <w:kern w:val="2"/>
          <w:sz w:val="36"/>
          <w:szCs w:val="36"/>
          <w:highlight w:val="none"/>
          <w:lang w:val="en-US" w:eastAsia="zh-CN" w:bidi="ar-SA"/>
        </w:rPr>
        <w:tab/>
      </w:r>
      <w:r>
        <w:rPr>
          <w:rFonts w:hint="eastAsia" w:ascii="楷体_GB2312" w:hAnsi="楷体_GB2312" w:eastAsia="楷体_GB2312" w:cs="楷体_GB2312"/>
          <w:kern w:val="2"/>
          <w:sz w:val="36"/>
          <w:szCs w:val="36"/>
          <w:highlight w:val="none"/>
          <w:lang w:val="en-US" w:eastAsia="zh-CN" w:bidi="ar-SA"/>
        </w:rPr>
        <w:t>2</w:t>
      </w:r>
      <w:r>
        <w:rPr>
          <w:rFonts w:hint="eastAsia" w:ascii="黑体" w:hAnsi="黑体" w:eastAsia="黑体" w:cs="黑体"/>
          <w:kern w:val="2"/>
          <w:sz w:val="36"/>
          <w:szCs w:val="36"/>
          <w:highlight w:val="none"/>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"_Toc70297247"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一、发展基础</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2</w:t>
      </w:r>
      <w:r>
        <w:rPr>
          <w:rFonts w:hint="eastAsia" w:ascii="楷体_GB2312" w:hAnsi="楷体_GB2312" w:eastAsia="楷体_GB2312" w:cs="楷体_GB2312"/>
          <w:color w:val="0000FF"/>
          <w:kern w:val="0"/>
          <w:sz w:val="36"/>
          <w:szCs w:val="36"/>
          <w:highlight w:val="none"/>
          <w:u w:val="single"/>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"_Toc70297248"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二、发展要求</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5</w:t>
      </w:r>
      <w:r>
        <w:rPr>
          <w:rFonts w:hint="eastAsia" w:ascii="楷体_GB2312" w:hAnsi="楷体_GB2312" w:eastAsia="楷体_GB2312" w:cs="楷体_GB2312"/>
          <w:color w:val="0000FF"/>
          <w:kern w:val="0"/>
          <w:sz w:val="36"/>
          <w:szCs w:val="36"/>
          <w:highlight w:val="none"/>
          <w:u w:val="single"/>
          <w:lang w:val="en-US" w:eastAsia="zh-CN" w:bidi="ar-SA"/>
        </w:rPr>
        <w:fldChar w:fldCharType="end"/>
      </w:r>
    </w:p>
    <w:p>
      <w:pPr>
        <w:widowControl w:val="0"/>
        <w:tabs>
          <w:tab w:val="right" w:leader="dot" w:pos="8296"/>
        </w:tabs>
        <w:jc w:val="both"/>
        <w:rPr>
          <w:rFonts w:ascii="Times New Roman" w:hAnsi="Times New Roman" w:eastAsia="楷体" w:cs="Times New Roman"/>
          <w:kern w:val="2"/>
          <w:sz w:val="28"/>
          <w:szCs w:val="28"/>
          <w:highlight w:val="none"/>
          <w:lang w:val="en-US" w:eastAsia="zh-CN" w:bidi="ar-SA"/>
        </w:rPr>
      </w:pPr>
      <w:r>
        <w:rPr>
          <w:rFonts w:hint="eastAsia" w:ascii="黑体" w:hAnsi="黑体" w:eastAsia="黑体" w:cs="黑体"/>
          <w:kern w:val="2"/>
          <w:sz w:val="36"/>
          <w:szCs w:val="36"/>
          <w:highlight w:val="none"/>
          <w:lang w:val="en-US" w:eastAsia="zh-CN" w:bidi="ar-SA"/>
        </w:rPr>
        <w:fldChar w:fldCharType="begin"/>
      </w:r>
      <w:r>
        <w:rPr>
          <w:rFonts w:hint="eastAsia" w:ascii="黑体" w:hAnsi="黑体" w:eastAsia="黑体" w:cs="黑体"/>
          <w:kern w:val="2"/>
          <w:sz w:val="36"/>
          <w:szCs w:val="36"/>
          <w:highlight w:val="none"/>
          <w:lang w:val="en-US" w:eastAsia="zh-CN" w:bidi="ar-SA"/>
        </w:rPr>
        <w:instrText xml:space="preserve"> HYPERLINK \l "_Toc70297249" </w:instrText>
      </w:r>
      <w:r>
        <w:rPr>
          <w:rFonts w:hint="eastAsia" w:ascii="黑体" w:hAnsi="黑体" w:eastAsia="黑体" w:cs="黑体"/>
          <w:kern w:val="2"/>
          <w:sz w:val="36"/>
          <w:szCs w:val="36"/>
          <w:highlight w:val="none"/>
          <w:lang w:val="en-US" w:eastAsia="zh-CN" w:bidi="ar-SA"/>
        </w:rPr>
        <w:fldChar w:fldCharType="separate"/>
      </w:r>
      <w:r>
        <w:rPr>
          <w:rFonts w:hint="eastAsia" w:ascii="黑体" w:hAnsi="黑体" w:eastAsia="黑体" w:cs="黑体"/>
          <w:kern w:val="2"/>
          <w:sz w:val="36"/>
          <w:szCs w:val="36"/>
          <w:highlight w:val="none"/>
          <w:lang w:val="en-US" w:eastAsia="zh-CN" w:bidi="ar-SA"/>
        </w:rPr>
        <w:t>第二章 规划思路</w:t>
      </w:r>
      <w:r>
        <w:rPr>
          <w:rFonts w:hint="eastAsia" w:ascii="黑体" w:hAnsi="黑体" w:eastAsia="黑体" w:cs="黑体"/>
          <w:kern w:val="2"/>
          <w:sz w:val="36"/>
          <w:szCs w:val="36"/>
          <w:highlight w:val="none"/>
          <w:lang w:val="en-US" w:eastAsia="zh-CN" w:bidi="ar-SA"/>
        </w:rPr>
        <w:tab/>
      </w:r>
      <w:r>
        <w:rPr>
          <w:rFonts w:hint="eastAsia" w:ascii="黑体" w:hAnsi="黑体" w:eastAsia="黑体" w:cs="黑体"/>
          <w:kern w:val="2"/>
          <w:sz w:val="36"/>
          <w:szCs w:val="36"/>
          <w:highlight w:val="none"/>
          <w:lang w:val="en-US" w:eastAsia="zh-CN" w:bidi="ar-SA"/>
        </w:rPr>
        <w:t>7</w:t>
      </w:r>
      <w:r>
        <w:rPr>
          <w:rFonts w:hint="eastAsia" w:ascii="黑体" w:hAnsi="黑体" w:eastAsia="黑体" w:cs="黑体"/>
          <w:kern w:val="2"/>
          <w:sz w:val="36"/>
          <w:szCs w:val="36"/>
          <w:highlight w:val="none"/>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"_Toc70297250"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一、指导思想</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7</w:t>
      </w:r>
      <w:r>
        <w:rPr>
          <w:rFonts w:hint="eastAsia" w:ascii="楷体_GB2312" w:hAnsi="楷体_GB2312" w:eastAsia="楷体_GB2312" w:cs="楷体_GB2312"/>
          <w:color w:val="0000FF"/>
          <w:kern w:val="0"/>
          <w:sz w:val="36"/>
          <w:szCs w:val="36"/>
          <w:highlight w:val="none"/>
          <w:u w:val="single"/>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"_Toc70297251"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二、基本原则</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8</w:t>
      </w:r>
      <w:r>
        <w:rPr>
          <w:rFonts w:hint="eastAsia" w:ascii="楷体_GB2312" w:hAnsi="楷体_GB2312" w:eastAsia="楷体_GB2312" w:cs="楷体_GB2312"/>
          <w:color w:val="0000FF"/>
          <w:kern w:val="0"/>
          <w:sz w:val="36"/>
          <w:szCs w:val="36"/>
          <w:highlight w:val="none"/>
          <w:u w:val="single"/>
          <w:lang w:val="en-US" w:eastAsia="zh-CN" w:bidi="ar-SA"/>
        </w:rPr>
        <w:fldChar w:fldCharType="end"/>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"_Toc70297252"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三、发展目标</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9</w:t>
      </w:r>
      <w:r>
        <w:rPr>
          <w:rFonts w:hint="eastAsia" w:ascii="楷体_GB2312" w:hAnsi="楷体_GB2312" w:eastAsia="楷体_GB2312" w:cs="楷体_GB2312"/>
          <w:color w:val="0000FF"/>
          <w:kern w:val="0"/>
          <w:sz w:val="36"/>
          <w:szCs w:val="36"/>
          <w:highlight w:val="none"/>
          <w:u w:val="single"/>
          <w:lang w:val="en-US" w:eastAsia="zh-CN" w:bidi="ar-SA"/>
        </w:rPr>
        <w:fldChar w:fldCharType="end"/>
      </w:r>
    </w:p>
    <w:p>
      <w:pPr>
        <w:widowControl w:val="0"/>
        <w:tabs>
          <w:tab w:val="right" w:leader="dot" w:pos="8296"/>
        </w:tabs>
        <w:jc w:val="both"/>
        <w:outlineLvl w:val="1"/>
        <w:rPr>
          <w:rFonts w:hint="eastAsia" w:ascii="Times New Roman" w:hAnsi="Times New Roman" w:eastAsia="黑体" w:cs="Times New Roman"/>
          <w:kern w:val="2"/>
          <w:sz w:val="28"/>
          <w:szCs w:val="28"/>
          <w:highlight w:val="none"/>
          <w:lang w:val="en-US" w:eastAsia="zh-CN" w:bidi="ar-SA"/>
        </w:rPr>
      </w:pPr>
      <w:r>
        <w:rPr>
          <w:rFonts w:hint="eastAsia" w:ascii="黑体" w:hAnsi="黑体" w:eastAsia="黑体" w:cs="黑体"/>
          <w:kern w:val="2"/>
          <w:sz w:val="36"/>
          <w:szCs w:val="36"/>
          <w:highlight w:val="none"/>
          <w:lang w:val="en-US" w:eastAsia="zh-CN" w:bidi="ar-SA"/>
        </w:rPr>
        <w:fldChar w:fldCharType="begin"/>
      </w:r>
      <w:r>
        <w:rPr>
          <w:rFonts w:hint="eastAsia" w:ascii="黑体" w:hAnsi="黑体" w:eastAsia="黑体" w:cs="黑体"/>
          <w:kern w:val="2"/>
          <w:sz w:val="36"/>
          <w:szCs w:val="36"/>
          <w:highlight w:val="none"/>
          <w:lang w:val="en-US" w:eastAsia="zh-CN" w:bidi="ar-SA"/>
        </w:rPr>
        <w:instrText xml:space="preserve"> HYPERLINK \l "_Toc70297253" </w:instrText>
      </w:r>
      <w:r>
        <w:rPr>
          <w:rFonts w:hint="eastAsia" w:ascii="黑体" w:hAnsi="黑体" w:eastAsia="黑体" w:cs="黑体"/>
          <w:kern w:val="2"/>
          <w:sz w:val="36"/>
          <w:szCs w:val="36"/>
          <w:highlight w:val="none"/>
          <w:lang w:val="en-US" w:eastAsia="zh-CN" w:bidi="ar-SA"/>
        </w:rPr>
        <w:fldChar w:fldCharType="separate"/>
      </w:r>
      <w:r>
        <w:rPr>
          <w:rFonts w:hint="eastAsia" w:ascii="黑体" w:hAnsi="黑体" w:eastAsia="黑体" w:cs="黑体"/>
          <w:kern w:val="2"/>
          <w:sz w:val="36"/>
          <w:szCs w:val="36"/>
          <w:highlight w:val="none"/>
          <w:lang w:val="en-US" w:eastAsia="zh-CN" w:bidi="ar-SA"/>
        </w:rPr>
        <w:t>第三章  重点任务</w:t>
      </w:r>
      <w:r>
        <w:rPr>
          <w:rFonts w:hint="eastAsia" w:ascii="黑体" w:hAnsi="黑体" w:eastAsia="黑体" w:cs="黑体"/>
          <w:kern w:val="2"/>
          <w:sz w:val="36"/>
          <w:szCs w:val="36"/>
          <w:highlight w:val="none"/>
          <w:lang w:val="en-US" w:eastAsia="zh-CN" w:bidi="ar-SA"/>
        </w:rPr>
        <w:tab/>
      </w:r>
      <w:r>
        <w:rPr>
          <w:rFonts w:hint="eastAsia" w:ascii="楷体_GB2312" w:hAnsi="楷体_GB2312" w:eastAsia="楷体_GB2312" w:cs="楷体_GB2312"/>
          <w:kern w:val="2"/>
          <w:sz w:val="36"/>
          <w:szCs w:val="36"/>
          <w:highlight w:val="none"/>
          <w:lang w:val="en-US" w:eastAsia="zh-CN" w:bidi="ar-SA"/>
        </w:rPr>
        <w:t>1</w:t>
      </w:r>
      <w:r>
        <w:rPr>
          <w:rFonts w:hint="eastAsia" w:ascii="黑体" w:hAnsi="黑体" w:eastAsia="黑体" w:cs="黑体"/>
          <w:kern w:val="2"/>
          <w:sz w:val="36"/>
          <w:szCs w:val="36"/>
          <w:highlight w:val="none"/>
          <w:lang w:val="en-US" w:eastAsia="zh-CN" w:bidi="ar-SA"/>
        </w:rPr>
        <w:fldChar w:fldCharType="end"/>
      </w:r>
      <w:r>
        <w:rPr>
          <w:rFonts w:hint="eastAsia" w:ascii="楷体_GB2312" w:hAnsi="楷体_GB2312" w:eastAsia="楷体_GB2312" w:cs="楷体_GB2312"/>
          <w:kern w:val="2"/>
          <w:sz w:val="36"/>
          <w:szCs w:val="36"/>
          <w:highlight w:val="none"/>
          <w:lang w:val="en-US" w:eastAsia="zh-CN" w:bidi="ar-SA"/>
        </w:rPr>
        <w:t>2</w:t>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"_Toc70297254"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一、发展优质均衡的现代化教育</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1</w:t>
      </w:r>
      <w:r>
        <w:rPr>
          <w:rFonts w:hint="eastAsia" w:ascii="楷体_GB2312" w:hAnsi="楷体_GB2312" w:eastAsia="楷体_GB2312" w:cs="楷体_GB2312"/>
          <w:color w:val="0000FF"/>
          <w:kern w:val="0"/>
          <w:sz w:val="36"/>
          <w:szCs w:val="36"/>
          <w:highlight w:val="none"/>
          <w:u w:val="single"/>
          <w:lang w:val="en-US" w:eastAsia="zh-CN" w:bidi="ar-SA"/>
        </w:rPr>
        <w:fldChar w:fldCharType="end"/>
      </w:r>
      <w:r>
        <w:rPr>
          <w:rFonts w:hint="eastAsia" w:ascii="楷体_GB2312" w:hAnsi="楷体_GB2312" w:eastAsia="楷体_GB2312" w:cs="楷体_GB2312"/>
          <w:color w:val="0000FF"/>
          <w:kern w:val="0"/>
          <w:sz w:val="36"/>
          <w:szCs w:val="36"/>
          <w:highlight w:val="none"/>
          <w:u w:val="single"/>
          <w:lang w:val="en-US" w:eastAsia="zh-CN" w:bidi="ar-SA"/>
        </w:rPr>
        <w:t>2</w:t>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"_Toc70297255"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二、建设更高质量的“健康西城”</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1</w:t>
      </w:r>
      <w:r>
        <w:rPr>
          <w:rFonts w:hint="eastAsia" w:ascii="楷体_GB2312" w:hAnsi="楷体_GB2312" w:eastAsia="楷体_GB2312" w:cs="楷体_GB2312"/>
          <w:color w:val="0000FF"/>
          <w:kern w:val="0"/>
          <w:sz w:val="36"/>
          <w:szCs w:val="36"/>
          <w:highlight w:val="none"/>
          <w:u w:val="single"/>
          <w:lang w:val="en-US" w:eastAsia="zh-CN" w:bidi="ar-SA"/>
        </w:rPr>
        <w:fldChar w:fldCharType="end"/>
      </w:r>
      <w:r>
        <w:rPr>
          <w:rFonts w:hint="eastAsia" w:ascii="楷体_GB2312" w:hAnsi="楷体_GB2312" w:eastAsia="楷体_GB2312" w:cs="楷体_GB2312"/>
          <w:color w:val="0000FF"/>
          <w:kern w:val="0"/>
          <w:sz w:val="36"/>
          <w:szCs w:val="36"/>
          <w:highlight w:val="none"/>
          <w:u w:val="single"/>
          <w:lang w:val="en-US" w:eastAsia="zh-CN" w:bidi="ar-SA"/>
        </w:rPr>
        <w:t>5</w:t>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"_Toc70297256"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三、高标准构建公共文化服务体系</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1</w:t>
      </w:r>
      <w:r>
        <w:rPr>
          <w:rFonts w:hint="eastAsia" w:ascii="楷体_GB2312" w:hAnsi="楷体_GB2312" w:eastAsia="楷体_GB2312" w:cs="楷体_GB2312"/>
          <w:color w:val="0000FF"/>
          <w:kern w:val="0"/>
          <w:sz w:val="36"/>
          <w:szCs w:val="36"/>
          <w:highlight w:val="none"/>
          <w:u w:val="single"/>
          <w:lang w:val="en-US" w:eastAsia="zh-CN" w:bidi="ar-SA"/>
        </w:rPr>
        <w:fldChar w:fldCharType="end"/>
      </w:r>
      <w:r>
        <w:rPr>
          <w:rFonts w:hint="eastAsia" w:ascii="楷体_GB2312" w:hAnsi="楷体_GB2312" w:eastAsia="楷体_GB2312" w:cs="楷体_GB2312"/>
          <w:color w:val="0000FF"/>
          <w:kern w:val="0"/>
          <w:sz w:val="36"/>
          <w:szCs w:val="36"/>
          <w:highlight w:val="none"/>
          <w:u w:val="single"/>
          <w:lang w:val="en-US" w:eastAsia="zh-CN" w:bidi="ar-SA"/>
        </w:rPr>
        <w:t>8</w:t>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"_Toc70297257"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四、建设活力多彩的全民健身体系</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2</w:t>
      </w:r>
      <w:r>
        <w:rPr>
          <w:rFonts w:hint="eastAsia" w:ascii="楷体_GB2312" w:hAnsi="楷体_GB2312" w:eastAsia="楷体_GB2312" w:cs="楷体_GB2312"/>
          <w:color w:val="0000FF"/>
          <w:kern w:val="0"/>
          <w:sz w:val="36"/>
          <w:szCs w:val="36"/>
          <w:highlight w:val="none"/>
          <w:u w:val="single"/>
          <w:lang w:val="en-US" w:eastAsia="zh-CN" w:bidi="ar-SA"/>
        </w:rPr>
        <w:fldChar w:fldCharType="end"/>
      </w:r>
      <w:r>
        <w:rPr>
          <w:rFonts w:hint="eastAsia" w:ascii="楷体_GB2312" w:hAnsi="楷体_GB2312" w:eastAsia="楷体_GB2312" w:cs="楷体_GB2312"/>
          <w:color w:val="0000FF"/>
          <w:kern w:val="0"/>
          <w:sz w:val="36"/>
          <w:szCs w:val="36"/>
          <w:highlight w:val="none"/>
          <w:u w:val="single"/>
          <w:lang w:val="en-US" w:eastAsia="zh-CN" w:bidi="ar-SA"/>
        </w:rPr>
        <w:t>0</w:t>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"_Toc70297258"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五、优化公共就业服务保障水平</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2</w:t>
      </w:r>
      <w:r>
        <w:rPr>
          <w:rFonts w:hint="eastAsia" w:ascii="楷体_GB2312" w:hAnsi="楷体_GB2312" w:eastAsia="楷体_GB2312" w:cs="楷体_GB2312"/>
          <w:color w:val="0000FF"/>
          <w:kern w:val="0"/>
          <w:sz w:val="36"/>
          <w:szCs w:val="36"/>
          <w:highlight w:val="none"/>
          <w:u w:val="single"/>
          <w:lang w:val="en-US" w:eastAsia="zh-CN" w:bidi="ar-SA"/>
        </w:rPr>
        <w:fldChar w:fldCharType="end"/>
      </w:r>
      <w:r>
        <w:rPr>
          <w:rFonts w:hint="eastAsia" w:ascii="楷体_GB2312" w:hAnsi="楷体_GB2312" w:eastAsia="楷体_GB2312" w:cs="楷体_GB2312"/>
          <w:color w:val="0000FF"/>
          <w:kern w:val="0"/>
          <w:sz w:val="36"/>
          <w:szCs w:val="36"/>
          <w:highlight w:val="none"/>
          <w:u w:val="single"/>
          <w:lang w:val="en-US" w:eastAsia="zh-CN" w:bidi="ar-SA"/>
        </w:rPr>
        <w:t>2</w:t>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"_Toc70297259"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六、健全可持续的社会保障能力</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2</w:t>
      </w:r>
      <w:r>
        <w:rPr>
          <w:rFonts w:hint="eastAsia" w:ascii="楷体_GB2312" w:hAnsi="楷体_GB2312" w:eastAsia="楷体_GB2312" w:cs="楷体_GB2312"/>
          <w:color w:val="0000FF"/>
          <w:kern w:val="0"/>
          <w:sz w:val="36"/>
          <w:szCs w:val="36"/>
          <w:highlight w:val="none"/>
          <w:u w:val="single"/>
          <w:lang w:val="en-US" w:eastAsia="zh-CN" w:bidi="ar-SA"/>
        </w:rPr>
        <w:fldChar w:fldCharType="end"/>
      </w:r>
      <w:r>
        <w:rPr>
          <w:rFonts w:hint="eastAsia" w:ascii="楷体_GB2312" w:hAnsi="楷体_GB2312" w:eastAsia="楷体_GB2312" w:cs="楷体_GB2312"/>
          <w:color w:val="0000FF"/>
          <w:kern w:val="0"/>
          <w:sz w:val="36"/>
          <w:szCs w:val="36"/>
          <w:highlight w:val="none"/>
          <w:u w:val="single"/>
          <w:lang w:val="en-US" w:eastAsia="zh-CN" w:bidi="ar-SA"/>
        </w:rPr>
        <w:t>4</w:t>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"_Toc70297260"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七、提高养老育幼服务发展质量</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2</w:t>
      </w:r>
      <w:r>
        <w:rPr>
          <w:rFonts w:hint="eastAsia" w:ascii="楷体_GB2312" w:hAnsi="楷体_GB2312" w:eastAsia="楷体_GB2312" w:cs="楷体_GB2312"/>
          <w:color w:val="0000FF"/>
          <w:kern w:val="0"/>
          <w:sz w:val="36"/>
          <w:szCs w:val="36"/>
          <w:highlight w:val="none"/>
          <w:u w:val="single"/>
          <w:lang w:val="en-US" w:eastAsia="zh-CN" w:bidi="ar-SA"/>
        </w:rPr>
        <w:fldChar w:fldCharType="end"/>
      </w:r>
      <w:r>
        <w:rPr>
          <w:rFonts w:hint="eastAsia" w:ascii="楷体_GB2312" w:hAnsi="楷体_GB2312" w:eastAsia="楷体_GB2312" w:cs="楷体_GB2312"/>
          <w:color w:val="0000FF"/>
          <w:kern w:val="0"/>
          <w:sz w:val="36"/>
          <w:szCs w:val="36"/>
          <w:highlight w:val="none"/>
          <w:u w:val="single"/>
          <w:lang w:val="en-US" w:eastAsia="zh-CN" w:bidi="ar-SA"/>
        </w:rPr>
        <w:t>6</w:t>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"_Toc70297261"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八、提升基本住房保障服务能力</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2</w:t>
      </w:r>
      <w:r>
        <w:rPr>
          <w:rFonts w:hint="eastAsia" w:ascii="楷体_GB2312" w:hAnsi="楷体_GB2312" w:eastAsia="楷体_GB2312" w:cs="楷体_GB2312"/>
          <w:color w:val="0000FF"/>
          <w:kern w:val="0"/>
          <w:sz w:val="36"/>
          <w:szCs w:val="36"/>
          <w:highlight w:val="none"/>
          <w:u w:val="single"/>
          <w:lang w:val="en-US" w:eastAsia="zh-CN" w:bidi="ar-SA"/>
        </w:rPr>
        <w:fldChar w:fldCharType="end"/>
      </w:r>
      <w:r>
        <w:rPr>
          <w:rFonts w:hint="eastAsia" w:ascii="楷体_GB2312" w:hAnsi="楷体_GB2312" w:eastAsia="楷体_GB2312" w:cs="楷体_GB2312"/>
          <w:color w:val="0000FF"/>
          <w:kern w:val="0"/>
          <w:sz w:val="36"/>
          <w:szCs w:val="36"/>
          <w:highlight w:val="none"/>
          <w:u w:val="single"/>
          <w:lang w:val="en-US" w:eastAsia="zh-CN" w:bidi="ar-SA"/>
        </w:rPr>
        <w:t>9</w:t>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"_Toc70297262"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九、促进高品质生活便利服务供给</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3</w:t>
      </w:r>
      <w:r>
        <w:rPr>
          <w:rFonts w:hint="eastAsia" w:ascii="楷体_GB2312" w:hAnsi="楷体_GB2312" w:eastAsia="楷体_GB2312" w:cs="楷体_GB2312"/>
          <w:color w:val="0000FF"/>
          <w:kern w:val="0"/>
          <w:sz w:val="36"/>
          <w:szCs w:val="36"/>
          <w:highlight w:val="none"/>
          <w:u w:val="single"/>
          <w:lang w:val="en-US" w:eastAsia="zh-CN" w:bidi="ar-SA"/>
        </w:rPr>
        <w:fldChar w:fldCharType="end"/>
      </w:r>
      <w:r>
        <w:rPr>
          <w:rFonts w:hint="eastAsia" w:ascii="楷体_GB2312" w:hAnsi="楷体_GB2312" w:eastAsia="楷体_GB2312" w:cs="楷体_GB2312"/>
          <w:color w:val="0000FF"/>
          <w:kern w:val="0"/>
          <w:sz w:val="36"/>
          <w:szCs w:val="36"/>
          <w:highlight w:val="none"/>
          <w:u w:val="single"/>
          <w:lang w:val="en-US" w:eastAsia="zh-CN" w:bidi="ar-SA"/>
        </w:rPr>
        <w:t>0</w:t>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"_Toc70297263"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十、推进高标准城市安全体系建设</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3</w:t>
      </w:r>
      <w:r>
        <w:rPr>
          <w:rFonts w:hint="eastAsia" w:ascii="楷体_GB2312" w:hAnsi="楷体_GB2312" w:eastAsia="楷体_GB2312" w:cs="楷体_GB2312"/>
          <w:color w:val="0000FF"/>
          <w:kern w:val="0"/>
          <w:sz w:val="36"/>
          <w:szCs w:val="36"/>
          <w:highlight w:val="none"/>
          <w:u w:val="single"/>
          <w:lang w:val="en-US" w:eastAsia="zh-CN" w:bidi="ar-SA"/>
        </w:rPr>
        <w:fldChar w:fldCharType="end"/>
      </w:r>
      <w:r>
        <w:rPr>
          <w:rFonts w:hint="eastAsia" w:ascii="楷体_GB2312" w:hAnsi="楷体_GB2312" w:eastAsia="楷体_GB2312" w:cs="楷体_GB2312"/>
          <w:color w:val="0000FF"/>
          <w:kern w:val="0"/>
          <w:sz w:val="36"/>
          <w:szCs w:val="36"/>
          <w:highlight w:val="none"/>
          <w:u w:val="single"/>
          <w:lang w:val="en-US" w:eastAsia="zh-CN" w:bidi="ar-SA"/>
        </w:rPr>
        <w:t>2</w:t>
      </w:r>
    </w:p>
    <w:p>
      <w:pPr>
        <w:tabs>
          <w:tab w:val="right" w:leader="dot" w:pos="8296"/>
        </w:tabs>
        <w:rPr>
          <w:rFonts w:hint="eastAsia" w:ascii="黑体" w:hAnsi="黑体" w:eastAsia="黑体" w:cs="黑体"/>
          <w:sz w:val="36"/>
          <w:szCs w:val="36"/>
          <w:highlight w:val="none"/>
        </w:rPr>
        <w:sectPr>
          <w:footerReference r:id="rId4" w:type="default"/>
          <w:type w:val="continuous"/>
          <w:pgSz w:w="11906" w:h="16838"/>
          <w:pgMar w:top="2098" w:right="1474" w:bottom="1984" w:left="1587" w:header="1417" w:footer="1417" w:gutter="0"/>
          <w:pgNumType w:fmt="numberInDash" w:start="1"/>
          <w:cols w:space="720" w:num="1"/>
          <w:docGrid w:type="lines" w:linePitch="312" w:charSpace="0"/>
        </w:sectPr>
      </w:pPr>
    </w:p>
    <w:p>
      <w:pPr>
        <w:widowControl w:val="0"/>
        <w:tabs>
          <w:tab w:val="right" w:leader="dot" w:pos="8296"/>
        </w:tabs>
        <w:jc w:val="both"/>
        <w:rPr>
          <w:rFonts w:hint="eastAsia" w:ascii="Times New Roman" w:hAnsi="Times New Roman" w:eastAsia="黑体" w:cs="Times New Roman"/>
          <w:kern w:val="2"/>
          <w:sz w:val="28"/>
          <w:szCs w:val="28"/>
          <w:highlight w:val="none"/>
          <w:lang w:val="en-US" w:eastAsia="zh-CN" w:bidi="ar-SA"/>
        </w:rPr>
      </w:pPr>
      <w:r>
        <w:rPr>
          <w:rFonts w:hint="eastAsia" w:ascii="黑体" w:hAnsi="黑体" w:eastAsia="黑体" w:cs="黑体"/>
          <w:kern w:val="2"/>
          <w:sz w:val="36"/>
          <w:szCs w:val="36"/>
          <w:highlight w:val="none"/>
          <w:lang w:val="en-US" w:eastAsia="zh-CN" w:bidi="ar-SA"/>
        </w:rPr>
        <w:fldChar w:fldCharType="begin"/>
      </w:r>
      <w:r>
        <w:rPr>
          <w:rFonts w:hint="eastAsia" w:ascii="黑体" w:hAnsi="黑体" w:eastAsia="黑体" w:cs="黑体"/>
          <w:kern w:val="2"/>
          <w:sz w:val="36"/>
          <w:szCs w:val="36"/>
          <w:highlight w:val="none"/>
          <w:lang w:val="en-US" w:eastAsia="zh-CN" w:bidi="ar-SA"/>
        </w:rPr>
        <w:instrText xml:space="preserve"> HYPERLINK \l "_Toc70297264" </w:instrText>
      </w:r>
      <w:r>
        <w:rPr>
          <w:rFonts w:hint="eastAsia" w:ascii="黑体" w:hAnsi="黑体" w:eastAsia="黑体" w:cs="黑体"/>
          <w:kern w:val="2"/>
          <w:sz w:val="36"/>
          <w:szCs w:val="36"/>
          <w:highlight w:val="none"/>
          <w:lang w:val="en-US" w:eastAsia="zh-CN" w:bidi="ar-SA"/>
        </w:rPr>
        <w:fldChar w:fldCharType="separate"/>
      </w:r>
      <w:r>
        <w:rPr>
          <w:rFonts w:hint="eastAsia" w:ascii="黑体" w:hAnsi="黑体" w:eastAsia="黑体" w:cs="黑体"/>
          <w:kern w:val="2"/>
          <w:sz w:val="36"/>
          <w:szCs w:val="36"/>
          <w:highlight w:val="none"/>
          <w:lang w:val="en-US" w:eastAsia="zh-CN" w:bidi="ar-SA"/>
        </w:rPr>
        <w:t>第四章 保障机制</w:t>
      </w:r>
      <w:r>
        <w:rPr>
          <w:rFonts w:hint="eastAsia" w:ascii="黑体" w:hAnsi="黑体" w:eastAsia="黑体" w:cs="黑体"/>
          <w:kern w:val="2"/>
          <w:sz w:val="36"/>
          <w:szCs w:val="36"/>
          <w:highlight w:val="none"/>
          <w:lang w:val="en-US" w:eastAsia="zh-CN" w:bidi="ar-SA"/>
        </w:rPr>
        <w:tab/>
      </w:r>
      <w:r>
        <w:rPr>
          <w:rFonts w:hint="eastAsia" w:ascii="楷体_GB2312" w:hAnsi="楷体_GB2312" w:eastAsia="楷体_GB2312" w:cs="楷体_GB2312"/>
          <w:kern w:val="2"/>
          <w:sz w:val="36"/>
          <w:szCs w:val="36"/>
          <w:highlight w:val="none"/>
          <w:lang w:val="en-US" w:eastAsia="zh-CN" w:bidi="ar-SA"/>
        </w:rPr>
        <w:t>3</w:t>
      </w:r>
      <w:r>
        <w:rPr>
          <w:rFonts w:hint="eastAsia" w:ascii="黑体" w:hAnsi="黑体" w:eastAsia="黑体" w:cs="黑体"/>
          <w:kern w:val="2"/>
          <w:sz w:val="36"/>
          <w:szCs w:val="36"/>
          <w:highlight w:val="none"/>
          <w:lang w:val="en-US" w:eastAsia="zh-CN" w:bidi="ar-SA"/>
        </w:rPr>
        <w:fldChar w:fldCharType="end"/>
      </w:r>
      <w:r>
        <w:rPr>
          <w:rFonts w:hint="eastAsia" w:ascii="楷体_GB2312" w:hAnsi="楷体_GB2312" w:eastAsia="楷体_GB2312" w:cs="楷体_GB2312"/>
          <w:kern w:val="2"/>
          <w:sz w:val="36"/>
          <w:szCs w:val="36"/>
          <w:highlight w:val="none"/>
          <w:lang w:val="en-US" w:eastAsia="zh-CN" w:bidi="ar-SA"/>
        </w:rPr>
        <w:t>4</w:t>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"_Toc70297265"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一、加强统筹协调力度</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3</w:t>
      </w:r>
      <w:r>
        <w:rPr>
          <w:rFonts w:hint="eastAsia" w:ascii="楷体_GB2312" w:hAnsi="楷体_GB2312" w:eastAsia="楷体_GB2312" w:cs="楷体_GB2312"/>
          <w:color w:val="0000FF"/>
          <w:kern w:val="0"/>
          <w:sz w:val="36"/>
          <w:szCs w:val="36"/>
          <w:highlight w:val="none"/>
          <w:u w:val="single"/>
          <w:lang w:val="en-US" w:eastAsia="zh-CN" w:bidi="ar-SA"/>
        </w:rPr>
        <w:fldChar w:fldCharType="end"/>
      </w:r>
      <w:r>
        <w:rPr>
          <w:rFonts w:hint="eastAsia" w:ascii="楷体_GB2312" w:hAnsi="楷体_GB2312" w:eastAsia="楷体_GB2312" w:cs="楷体_GB2312"/>
          <w:color w:val="0000FF"/>
          <w:kern w:val="0"/>
          <w:sz w:val="36"/>
          <w:szCs w:val="36"/>
          <w:highlight w:val="none"/>
          <w:u w:val="single"/>
          <w:lang w:val="en-US" w:eastAsia="zh-CN" w:bidi="ar-SA"/>
        </w:rPr>
        <w:t>4</w:t>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"_Toc70297266"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二、优化财政保障机制</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3</w:t>
      </w:r>
      <w:r>
        <w:rPr>
          <w:rFonts w:hint="eastAsia" w:ascii="楷体_GB2312" w:hAnsi="楷体_GB2312" w:eastAsia="楷体_GB2312" w:cs="楷体_GB2312"/>
          <w:color w:val="0000FF"/>
          <w:kern w:val="0"/>
          <w:sz w:val="36"/>
          <w:szCs w:val="36"/>
          <w:highlight w:val="none"/>
          <w:u w:val="single"/>
          <w:lang w:val="en-US" w:eastAsia="zh-CN" w:bidi="ar-SA"/>
        </w:rPr>
        <w:fldChar w:fldCharType="end"/>
      </w:r>
      <w:r>
        <w:rPr>
          <w:rFonts w:hint="eastAsia" w:ascii="楷体_GB2312" w:hAnsi="楷体_GB2312" w:eastAsia="楷体_GB2312" w:cs="楷体_GB2312"/>
          <w:color w:val="0000FF"/>
          <w:kern w:val="0"/>
          <w:sz w:val="36"/>
          <w:szCs w:val="36"/>
          <w:highlight w:val="none"/>
          <w:u w:val="single"/>
          <w:lang w:val="en-US" w:eastAsia="zh-CN" w:bidi="ar-SA"/>
        </w:rPr>
        <w:t>4</w:t>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"_Toc70297267"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三、加强人才保障工作</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3</w:t>
      </w:r>
      <w:r>
        <w:rPr>
          <w:rFonts w:hint="eastAsia" w:ascii="楷体_GB2312" w:hAnsi="楷体_GB2312" w:eastAsia="楷体_GB2312" w:cs="楷体_GB2312"/>
          <w:color w:val="0000FF"/>
          <w:kern w:val="0"/>
          <w:sz w:val="36"/>
          <w:szCs w:val="36"/>
          <w:highlight w:val="none"/>
          <w:u w:val="single"/>
          <w:lang w:val="en-US" w:eastAsia="zh-CN" w:bidi="ar-SA"/>
        </w:rPr>
        <w:fldChar w:fldCharType="end"/>
      </w:r>
      <w:r>
        <w:rPr>
          <w:rFonts w:hint="eastAsia" w:ascii="楷体_GB2312" w:hAnsi="楷体_GB2312" w:eastAsia="楷体_GB2312" w:cs="楷体_GB2312"/>
          <w:color w:val="0000FF"/>
          <w:kern w:val="0"/>
          <w:sz w:val="36"/>
          <w:szCs w:val="36"/>
          <w:highlight w:val="none"/>
          <w:u w:val="single"/>
          <w:lang w:val="en-US" w:eastAsia="zh-CN" w:bidi="ar-SA"/>
        </w:rPr>
        <w:t>4</w:t>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"_Toc70297268"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四、提升智慧服务水平</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3</w:t>
      </w:r>
      <w:r>
        <w:rPr>
          <w:rFonts w:hint="eastAsia" w:ascii="楷体_GB2312" w:hAnsi="楷体_GB2312" w:eastAsia="楷体_GB2312" w:cs="楷体_GB2312"/>
          <w:color w:val="0000FF"/>
          <w:kern w:val="0"/>
          <w:sz w:val="36"/>
          <w:szCs w:val="36"/>
          <w:highlight w:val="none"/>
          <w:u w:val="single"/>
          <w:lang w:val="en-US" w:eastAsia="zh-CN" w:bidi="ar-SA"/>
        </w:rPr>
        <w:fldChar w:fldCharType="end"/>
      </w:r>
      <w:r>
        <w:rPr>
          <w:rFonts w:hint="eastAsia" w:ascii="楷体_GB2312" w:hAnsi="楷体_GB2312" w:eastAsia="楷体_GB2312" w:cs="楷体_GB2312"/>
          <w:color w:val="0000FF"/>
          <w:kern w:val="0"/>
          <w:sz w:val="36"/>
          <w:szCs w:val="36"/>
          <w:highlight w:val="none"/>
          <w:u w:val="single"/>
          <w:lang w:val="en-US" w:eastAsia="zh-CN" w:bidi="ar-SA"/>
        </w:rPr>
        <w:t>5</w:t>
      </w:r>
    </w:p>
    <w:p>
      <w:pPr>
        <w:keepNext w:val="0"/>
        <w:keepLines w:val="0"/>
        <w:pageBreakBefore w:val="0"/>
        <w:widowControl w:val="0"/>
        <w:tabs>
          <w:tab w:val="right" w:leader="dot" w:pos="8296"/>
        </w:tabs>
        <w:kinsoku/>
        <w:wordWrap/>
        <w:overflowPunct/>
        <w:topLinePunct w:val="0"/>
        <w:autoSpaceDE/>
        <w:autoSpaceDN/>
        <w:bidi w:val="0"/>
        <w:adjustRightInd/>
        <w:snapToGrid w:val="0"/>
        <w:spacing w:line="600" w:lineRule="exact"/>
        <w:ind w:left="420" w:leftChars="200"/>
        <w:jc w:val="both"/>
        <w:textAlignment w:val="auto"/>
        <w:rPr>
          <w:rFonts w:hint="eastAsia" w:ascii="楷体_GB2312" w:hAnsi="楷体_GB2312" w:eastAsia="楷体_GB2312" w:cs="楷体_GB2312"/>
          <w:kern w:val="0"/>
          <w:sz w:val="36"/>
          <w:szCs w:val="36"/>
          <w:highlight w:val="none"/>
          <w:lang w:val="en-US" w:eastAsia="zh-CN" w:bidi="ar-SA"/>
        </w:rPr>
      </w:pPr>
      <w:r>
        <w:rPr>
          <w:rFonts w:hint="eastAsia" w:ascii="楷体_GB2312" w:hAnsi="楷体_GB2312" w:eastAsia="楷体_GB2312" w:cs="楷体_GB2312"/>
          <w:color w:val="0000FF"/>
          <w:kern w:val="0"/>
          <w:sz w:val="36"/>
          <w:szCs w:val="36"/>
          <w:highlight w:val="none"/>
          <w:u w:val="single"/>
          <w:lang w:val="en-US" w:eastAsia="zh-CN" w:bidi="ar-SA"/>
        </w:rPr>
        <w:fldChar w:fldCharType="begin"/>
      </w:r>
      <w:r>
        <w:rPr>
          <w:rFonts w:hint="eastAsia" w:ascii="楷体_GB2312" w:hAnsi="楷体_GB2312" w:eastAsia="楷体_GB2312" w:cs="楷体_GB2312"/>
          <w:color w:val="0000FF"/>
          <w:kern w:val="0"/>
          <w:sz w:val="36"/>
          <w:szCs w:val="36"/>
          <w:highlight w:val="none"/>
          <w:u w:val="single"/>
          <w:lang w:val="en-US" w:eastAsia="zh-CN" w:bidi="ar-SA"/>
        </w:rPr>
        <w:instrText xml:space="preserve"> HYPERLINK \l "_Toc70297269" </w:instrText>
      </w:r>
      <w:r>
        <w:rPr>
          <w:rFonts w:hint="eastAsia" w:ascii="楷体_GB2312" w:hAnsi="楷体_GB2312" w:eastAsia="楷体_GB2312" w:cs="楷体_GB2312"/>
          <w:color w:val="0000FF"/>
          <w:kern w:val="0"/>
          <w:sz w:val="36"/>
          <w:szCs w:val="36"/>
          <w:highlight w:val="none"/>
          <w:u w:val="single"/>
          <w:lang w:val="en-US" w:eastAsia="zh-CN" w:bidi="ar-SA"/>
        </w:rPr>
        <w:fldChar w:fldCharType="separate"/>
      </w:r>
      <w:r>
        <w:rPr>
          <w:rFonts w:hint="eastAsia" w:ascii="楷体_GB2312" w:hAnsi="楷体_GB2312" w:eastAsia="楷体_GB2312" w:cs="楷体_GB2312"/>
          <w:color w:val="0000FF"/>
          <w:kern w:val="0"/>
          <w:sz w:val="36"/>
          <w:szCs w:val="36"/>
          <w:highlight w:val="none"/>
          <w:u w:val="single"/>
          <w:lang w:val="en-US" w:eastAsia="zh-CN" w:bidi="ar-SA"/>
        </w:rPr>
        <w:t>五、健全监管评估体系</w:t>
      </w:r>
      <w:r>
        <w:rPr>
          <w:rFonts w:hint="eastAsia" w:ascii="楷体_GB2312" w:hAnsi="楷体_GB2312" w:eastAsia="楷体_GB2312" w:cs="楷体_GB2312"/>
          <w:color w:val="0000FF"/>
          <w:kern w:val="0"/>
          <w:sz w:val="36"/>
          <w:szCs w:val="36"/>
          <w:highlight w:val="none"/>
          <w:u w:val="single"/>
          <w:lang w:val="en-US" w:eastAsia="zh-CN" w:bidi="ar-SA"/>
        </w:rPr>
        <w:tab/>
      </w:r>
      <w:r>
        <w:rPr>
          <w:rFonts w:hint="eastAsia" w:ascii="楷体_GB2312" w:hAnsi="楷体_GB2312" w:eastAsia="楷体_GB2312" w:cs="楷体_GB2312"/>
          <w:color w:val="0000FF"/>
          <w:kern w:val="0"/>
          <w:sz w:val="36"/>
          <w:szCs w:val="36"/>
          <w:highlight w:val="none"/>
          <w:u w:val="single"/>
          <w:lang w:val="en-US" w:eastAsia="zh-CN" w:bidi="ar-SA"/>
        </w:rPr>
        <w:t>3</w:t>
      </w:r>
      <w:r>
        <w:rPr>
          <w:rFonts w:hint="eastAsia" w:ascii="楷体_GB2312" w:hAnsi="楷体_GB2312" w:eastAsia="楷体_GB2312" w:cs="楷体_GB2312"/>
          <w:color w:val="0000FF"/>
          <w:kern w:val="0"/>
          <w:sz w:val="36"/>
          <w:szCs w:val="36"/>
          <w:highlight w:val="none"/>
          <w:u w:val="single"/>
          <w:lang w:val="en-US" w:eastAsia="zh-CN" w:bidi="ar-SA"/>
        </w:rPr>
        <w:fldChar w:fldCharType="end"/>
      </w:r>
      <w:r>
        <w:rPr>
          <w:rFonts w:hint="eastAsia" w:ascii="楷体_GB2312" w:hAnsi="楷体_GB2312" w:eastAsia="楷体_GB2312" w:cs="楷体_GB2312"/>
          <w:color w:val="0000FF"/>
          <w:kern w:val="0"/>
          <w:sz w:val="36"/>
          <w:szCs w:val="36"/>
          <w:highlight w:val="none"/>
          <w:u w:val="single"/>
          <w:lang w:val="en-US" w:eastAsia="zh-CN" w:bidi="ar-SA"/>
        </w:rPr>
        <w:t>5</w:t>
      </w:r>
    </w:p>
    <w:p>
      <w:pPr>
        <w:spacing w:before="156" w:after="156"/>
        <w:jc w:val="center"/>
        <w:textAlignment w:val="baseline"/>
        <w:rPr>
          <w:rFonts w:ascii="黑体" w:hAnsi="黑体" w:eastAsia="黑体" w:cs="仿宋"/>
          <w:kern w:val="0"/>
          <w:sz w:val="36"/>
          <w:szCs w:val="36"/>
          <w:highlight w:val="none"/>
        </w:rPr>
      </w:pPr>
      <w:r>
        <w:rPr>
          <w:rFonts w:ascii="Times New Roman" w:hAnsi="Times New Roman" w:eastAsia="楷体" w:cs="Times New Roman"/>
          <w:sz w:val="28"/>
          <w:szCs w:val="28"/>
          <w:highlight w:val="none"/>
        </w:rPr>
        <w:fldChar w:fldCharType="end"/>
      </w:r>
    </w:p>
    <w:p>
      <w:pPr>
        <w:spacing w:before="156" w:after="156"/>
        <w:jc w:val="center"/>
        <w:textAlignment w:val="baseline"/>
        <w:rPr>
          <w:rFonts w:ascii="黑体" w:hAnsi="黑体" w:eastAsia="黑体" w:cs="仿宋"/>
          <w:kern w:val="0"/>
          <w:sz w:val="36"/>
          <w:szCs w:val="36"/>
          <w:highlight w:val="none"/>
        </w:rPr>
      </w:pPr>
    </w:p>
    <w:p>
      <w:pPr>
        <w:spacing w:before="156" w:after="156"/>
        <w:jc w:val="center"/>
        <w:textAlignment w:val="baseline"/>
        <w:rPr>
          <w:rFonts w:ascii="黑体" w:hAnsi="黑体" w:eastAsia="黑体" w:cs="仿宋"/>
          <w:kern w:val="0"/>
          <w:sz w:val="36"/>
          <w:szCs w:val="36"/>
          <w:highlight w:val="none"/>
        </w:rPr>
      </w:pPr>
    </w:p>
    <w:p>
      <w:pPr>
        <w:spacing w:before="156" w:after="156"/>
        <w:jc w:val="center"/>
        <w:textAlignment w:val="baseline"/>
        <w:rPr>
          <w:rFonts w:ascii="黑体" w:hAnsi="黑体" w:eastAsia="黑体" w:cs="仿宋"/>
          <w:kern w:val="0"/>
          <w:sz w:val="36"/>
          <w:szCs w:val="36"/>
          <w:highlight w:val="none"/>
        </w:rPr>
      </w:pPr>
    </w:p>
    <w:p>
      <w:pPr>
        <w:spacing w:before="156" w:after="156"/>
        <w:jc w:val="center"/>
        <w:textAlignment w:val="baseline"/>
        <w:rPr>
          <w:rFonts w:ascii="黑体" w:hAnsi="黑体" w:eastAsia="黑体" w:cs="仿宋"/>
          <w:kern w:val="0"/>
          <w:sz w:val="36"/>
          <w:szCs w:val="36"/>
          <w:highlight w:val="none"/>
        </w:rPr>
      </w:pPr>
    </w:p>
    <w:p>
      <w:pPr>
        <w:spacing w:before="156" w:after="156"/>
        <w:jc w:val="both"/>
        <w:textAlignment w:val="baseline"/>
        <w:rPr>
          <w:rFonts w:ascii="黑体" w:hAnsi="黑体" w:eastAsia="黑体" w:cs="仿宋"/>
          <w:kern w:val="0"/>
          <w:sz w:val="36"/>
          <w:szCs w:val="36"/>
          <w:highlight w:val="none"/>
        </w:rPr>
      </w:pPr>
    </w:p>
    <w:p>
      <w:pPr>
        <w:spacing w:before="156" w:after="156"/>
        <w:jc w:val="both"/>
        <w:textAlignment w:val="baseline"/>
        <w:rPr>
          <w:rFonts w:ascii="黑体" w:hAnsi="黑体" w:eastAsia="黑体" w:cs="仿宋"/>
          <w:kern w:val="0"/>
          <w:sz w:val="36"/>
          <w:szCs w:val="36"/>
          <w:highlight w:val="none"/>
        </w:rPr>
      </w:pPr>
    </w:p>
    <w:p>
      <w:pPr>
        <w:keepNext w:val="0"/>
        <w:keepLines w:val="0"/>
        <w:pageBreakBefore w:val="0"/>
        <w:widowControl w:val="0"/>
        <w:kinsoku/>
        <w:wordWrap/>
        <w:overflowPunct/>
        <w:topLinePunct w:val="0"/>
        <w:autoSpaceDE/>
        <w:autoSpaceDN/>
        <w:bidi w:val="0"/>
        <w:adjustRightInd/>
        <w:spacing w:line="600" w:lineRule="exact"/>
        <w:jc w:val="center"/>
        <w:textAlignment w:val="baseline"/>
        <w:outlineLvl w:val="0"/>
        <w:rPr>
          <w:rFonts w:hint="eastAsia" w:ascii="黑体" w:hAnsi="黑体" w:eastAsia="黑体" w:cs="仿宋"/>
          <w:kern w:val="0"/>
          <w:sz w:val="36"/>
          <w:szCs w:val="36"/>
          <w:highlight w:val="none"/>
        </w:rPr>
        <w:sectPr>
          <w:footerReference r:id="rId5" w:type="default"/>
          <w:footnotePr>
            <w:numFmt w:val="decimalEnclosedCircleChinese"/>
            <w:numRestart w:val="eachPage"/>
          </w:footnotePr>
          <w:type w:val="continuous"/>
          <w:pgSz w:w="11906" w:h="16838"/>
          <w:pgMar w:top="2098" w:right="1474" w:bottom="1984" w:left="1587" w:header="1417" w:footer="1417" w:gutter="0"/>
          <w:pgNumType w:fmt="numberInDash" w:start="0"/>
          <w:cols w:space="720" w:num="1"/>
          <w:docGrid w:type="lines" w:linePitch="312" w:charSpace="0"/>
        </w:sectPr>
      </w:pPr>
      <w:bookmarkStart w:id="0" w:name="_Toc70297245"/>
    </w:p>
    <w:p>
      <w:pPr>
        <w:keepNext w:val="0"/>
        <w:keepLines w:val="0"/>
        <w:pageBreakBefore w:val="0"/>
        <w:widowControl w:val="0"/>
        <w:kinsoku/>
        <w:wordWrap/>
        <w:overflowPunct/>
        <w:topLinePunct w:val="0"/>
        <w:autoSpaceDE/>
        <w:autoSpaceDN/>
        <w:bidi w:val="0"/>
        <w:adjustRightInd/>
        <w:spacing w:line="600" w:lineRule="exact"/>
        <w:jc w:val="center"/>
        <w:textAlignment w:val="baseline"/>
        <w:outlineLvl w:val="0"/>
        <w:rPr>
          <w:rFonts w:ascii="黑体" w:hAnsi="黑体" w:eastAsia="黑体" w:cs="仿宋"/>
          <w:kern w:val="0"/>
          <w:sz w:val="32"/>
          <w:szCs w:val="32"/>
          <w:highlight w:val="none"/>
        </w:rPr>
      </w:pPr>
      <w:r>
        <w:rPr>
          <w:rFonts w:hint="eastAsia" w:ascii="黑体" w:hAnsi="黑体" w:eastAsia="黑体" w:cs="仿宋"/>
          <w:kern w:val="0"/>
          <w:sz w:val="32"/>
          <w:szCs w:val="32"/>
          <w:highlight w:val="none"/>
        </w:rPr>
        <w:t>序</w:t>
      </w:r>
      <w:r>
        <w:rPr>
          <w:rFonts w:hint="eastAsia" w:ascii="黑体" w:hAnsi="黑体" w:eastAsia="黑体" w:cs="仿宋"/>
          <w:kern w:val="0"/>
          <w:sz w:val="32"/>
          <w:szCs w:val="32"/>
          <w:highlight w:val="none"/>
          <w:lang w:val="en-US" w:eastAsia="zh-CN"/>
        </w:rPr>
        <w:t xml:space="preserve">  </w:t>
      </w:r>
      <w:r>
        <w:rPr>
          <w:rFonts w:hint="eastAsia" w:ascii="黑体" w:hAnsi="黑体" w:eastAsia="黑体" w:cs="仿宋"/>
          <w:kern w:val="0"/>
          <w:sz w:val="32"/>
          <w:szCs w:val="32"/>
          <w:highlight w:val="none"/>
        </w:rPr>
        <w:t>言</w:t>
      </w:r>
      <w:bookmarkEnd w:id="0"/>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四五”时期是我国全面建成小康社会、实现第一个百年奋斗目标之后，乘势而上开启全面建设社会主义现代化国家新征程、向第二个百年奋斗目标进军的第一个五年，是北京落实首都城市战略定位、建设国际一流的和谐宜居之都的关键时期，也是西城区深入推进高质量发展、精细化治理，全面提升城市品质，建设政务环境优良、文化魅力彰显、人居环境一流的首都功能核心区的重要阶段。在“十四五”时期紧扣“七有”、“五性”要求，不断完善基本公共服务体系，推动基本公共服务事业实现更高水平的发展，是增强人民群众获得感、幸福感、安全感，促进人的全面发展和社会全面进步的必由之路，是建设政务环境优良、文化魅力彰显、人居环境一流新时代首都功能核心区的必然要求，是西城区建设发展的重要使命和任务。本规划依据《首都功能核心区控制性详细规划》（街区层面）（2018年-2035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北京市西城区国民经济和社会发展第十四个五年规划和二〇三五年远景目标纲要</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要求制定</w:t>
      </w:r>
      <w:r>
        <w:rPr>
          <w:rFonts w:hint="eastAsia" w:ascii="仿宋_GB2312" w:hAnsi="仿宋_GB2312" w:eastAsia="仿宋_GB2312" w:cs="仿宋_GB2312"/>
          <w:sz w:val="32"/>
          <w:szCs w:val="32"/>
          <w:highlight w:val="none"/>
        </w:rPr>
        <w:t>。规划聚焦旨在保障基本民生和发展性需求的公共服务设施和体系建设，范围包括公共教育、公共医疗、公共文化、公共体育、就业保障、社会保障、养老服务、住房保障、社区生活便利、公共安全等领域。</w:t>
      </w:r>
    </w:p>
    <w:p>
      <w:pPr>
        <w:keepNext w:val="0"/>
        <w:keepLines w:val="0"/>
        <w:pageBreakBefore w:val="0"/>
        <w:widowControl w:val="0"/>
        <w:kinsoku/>
        <w:wordWrap/>
        <w:overflowPunct/>
        <w:topLinePunct w:val="0"/>
        <w:autoSpaceDE/>
        <w:autoSpaceDN/>
        <w:bidi w:val="0"/>
        <w:adjustRightInd/>
        <w:spacing w:line="560" w:lineRule="exact"/>
        <w:textAlignment w:val="baseline"/>
        <w:rPr>
          <w:rFonts w:ascii="仿宋_GB2312" w:eastAsia="仿宋_GB2312"/>
          <w:sz w:val="32"/>
          <w:szCs w:val="32"/>
          <w:highlight w:val="none"/>
        </w:rPr>
        <w:sectPr>
          <w:footerReference r:id="rId6" w:type="default"/>
          <w:footnotePr>
            <w:numFmt w:val="decimalEnclosedCircleChinese"/>
            <w:numRestart w:val="eachPage"/>
          </w:footnotePr>
          <w:pgSz w:w="11906" w:h="16838"/>
          <w:pgMar w:top="2098" w:right="1474" w:bottom="1984" w:left="1587" w:header="1417" w:footer="1417" w:gutter="0"/>
          <w:pgNumType w:fmt="numberInDash"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baseline"/>
        <w:outlineLvl w:val="0"/>
        <w:rPr>
          <w:rFonts w:hint="eastAsia" w:ascii="黑体" w:hAnsi="黑体" w:eastAsia="黑体" w:cs="仿宋"/>
          <w:kern w:val="0"/>
          <w:sz w:val="32"/>
          <w:szCs w:val="32"/>
          <w:highlight w:val="none"/>
        </w:rPr>
      </w:pPr>
      <w:bookmarkStart w:id="1" w:name="_Toc70297246"/>
      <w:r>
        <w:rPr>
          <w:rFonts w:hint="eastAsia" w:ascii="黑体" w:hAnsi="黑体" w:eastAsia="黑体" w:cs="仿宋"/>
          <w:kern w:val="0"/>
          <w:sz w:val="32"/>
          <w:szCs w:val="32"/>
          <w:highlight w:val="none"/>
        </w:rPr>
        <w:t>第一章 规划背景</w:t>
      </w:r>
      <w:bookmarkEnd w:id="1"/>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hint="eastAsia" w:ascii="黑体" w:hAnsi="黑体" w:eastAsia="黑体" w:cs="Times New Roman"/>
          <w:kern w:val="0"/>
          <w:sz w:val="32"/>
          <w:szCs w:val="32"/>
          <w:highlight w:val="none"/>
        </w:rPr>
      </w:pPr>
      <w:bookmarkStart w:id="2" w:name="_Toc70297247"/>
      <w:r>
        <w:rPr>
          <w:rFonts w:hint="eastAsia" w:ascii="黑体" w:hAnsi="黑体" w:eastAsia="黑体" w:cs="Times New Roman"/>
          <w:kern w:val="0"/>
          <w:sz w:val="32"/>
          <w:szCs w:val="32"/>
          <w:highlight w:val="none"/>
        </w:rPr>
        <w:t>一、发展基础</w:t>
      </w:r>
      <w:bookmarkEnd w:id="2"/>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十三五”时期，西城区以提升基本公共服务质量为核心，以精准对接居民实际需求为导向，以全面推动公共服务资源整合为路径，着力补短板、提品质、促疏解、推改革、惠民生，不断创新基本公共服务供给机制，切实保障基本公共服务品质，总体实现了基本公共服务发展指标，基本形成了优质均衡、精细高效的基本公共服务格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（一）基本公共服务能力持续增强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新增幼儿园 7 所、中小学教育集团规模扩大到19个，新增学前教育学位 1.06 万个、义务教育学位 4.88 万个，基础教育资源供给能力显著提升。完成妇幼保健院装修改造等重点工程，建立各级临床重点专科基层服务点39个，每千人口床位数达到15张，公共医疗服务供给水平不断优化。建成体育场地 1146个，人均体育场地面积达到0.68平方米，实现十五分钟“健身圈”全面覆盖，有效破解了“健身去哪儿”难题。基本形成三级公共文化设施网络，人均公共文化设施建筑面积达到 0.94 平方米，建成西城区公共数字文化服务平台（西城区文化云）。养老服务设施稳步增加，养老服务机构达到 95 家，机构养老床位数达到 5076 张，实现每千名常住人口养老床位数4.46张。百姓生活服务中心、便民网点建设稳步推进，基本实现便民商业服务功能全覆盖，便利性指数达到100%。</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150"/>
        <w:textAlignment w:val="baseline"/>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（二）基本公共服务体系不断完善</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150"/>
        <w:textAlignment w:val="baseline"/>
        <w:rPr>
          <w:rFonts w:hint="eastAsia" w:ascii="仿宋_GB2312" w:hAnsi="仿宋" w:eastAsia="仿宋_GB2312" w:cs="Times New Roman"/>
          <w:bCs/>
          <w:sz w:val="32"/>
          <w:szCs w:val="32"/>
          <w:highlight w:val="none"/>
        </w:rPr>
      </w:pPr>
      <w:r>
        <w:rPr>
          <w:rFonts w:hint="eastAsia" w:ascii="仿宋_GB2312" w:hAnsi="仿宋" w:eastAsia="仿宋_GB2312" w:cs="Times New Roman"/>
          <w:bCs/>
          <w:sz w:val="32"/>
          <w:szCs w:val="32"/>
          <w:highlight w:val="none"/>
        </w:rPr>
        <w:t>区、街、社区三级公共文化服务体系基本建成，街道综合文化中心建有率实现100%，社区综合文化室建有率100%，达标率不断提升。面向全周期全人群的医疗保障体系逐步形成， 建立紧密型医疗联合体11个，复兴医院-月坛社区卫生服务中心紧密型医联体和首都医科大学宣武医院-北京市回民医院-牛街社区卫生服务中心紧密型医联体纳入国家级建设试点，医疗联动综合改革平稳推进，分级诊疗体系更加完备，疾病防控网络更加健全。适度普惠的养老保障体系初步建立，失能老年人居家照护补贴、高龄老龄人独居巡视等举措发挥积极作用。全覆盖社会保障体系更加完善，涵盖了低保、特困供养、医疗、教育、住房、就业、受灾、临时救助、冬季取暖及慈善救助的“9+1”社会救助政策基本形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（三）基本公共服务质量更有保障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教育品质始终过硬，适龄儿童学前教育率99%，中小学义务教育阶段就近入学率99%，中小学教师学历达标率达到100%，中、高考成绩保持全市领先。健康保障水平不断提高，四种慢性病过早死亡率持续降低，老年人健康服务率达到67.1%，重点人群家庭医生签约率达到97.3%，全区人均预期寿命达到 84.25岁，获得“国家健康促进区”荣誉称号。就业保障坚实有力，城镇登记失业率保持在1%以内，累计帮助登记失业人员实现再就业</w:t>
      </w:r>
      <w:r>
        <w:rPr>
          <w:rFonts w:hint="eastAsia" w:ascii="仿宋_GB2312" w:hAnsi="仿宋" w:eastAsia="仿宋_GB2312" w:cs="Times New Roman"/>
          <w:sz w:val="32"/>
          <w:szCs w:val="32"/>
          <w:highlight w:val="none"/>
          <w:lang w:val="en-US" w:eastAsia="zh-CN"/>
        </w:rPr>
        <w:t>6.85</w:t>
      </w:r>
      <w:r>
        <w:rPr>
          <w:rFonts w:hint="eastAsia" w:ascii="仿宋_GB2312" w:hAnsi="仿宋" w:eastAsia="仿宋_GB2312" w:cs="Times New Roman"/>
          <w:sz w:val="32"/>
          <w:szCs w:val="32"/>
          <w:highlight w:val="none"/>
        </w:rPr>
        <w:t>万人，连年获评“北京市充分就业区”。住房条件显著改善，实施老旧小区综合整治改造项目57个，为老旧居民楼加装 97 部电梯，解决8722户保障性住房轮候家庭住房问题。文化精品层出不穷，形成了以话剧《北京法源寺》、电视剧《幸福里的故事》为代表的一批精品力作，受到群众好评。</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150"/>
        <w:textAlignment w:val="baseline"/>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（四）基本公共服务特色更加鲜明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落实“中小学养成教育三年行动计划”，实现“城市学校少年宫计划”全覆盖，建立素质教育绿色评价指标，特色教育品牌影响力不断增强。持续推进文物腾退与非遗保护与活化利用，形成“天桥音乐剧演出季”“百姓戏剧展演”等文化品牌活动，不断加强“书香网络”建设，成功推出挂牌特色阅读空间25家，特色文化项目更有魅力。打造“一区两品”、“一街一品”等区域特色体育活动，年参与总人数达到130万人次，以2022年北京冬奥会为契机广泛开展冰雪运动知识宣传，冬季项目特色品牌初步形成。</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150"/>
        <w:textAlignment w:val="baseline"/>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（五）基本公共服务供给主体更加多元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政府公共服务的购买范围不断扩大，全民终身教育、医疗卫生应急救援、社区为老服务、助残服务、群众文化、体育活动和公益性演出等纳入政府购买范畴。社会组织稳步发展，每万名常住人口拥有登记或备案社会组织数从4.4个增加到10个。政企合作日益频繁，为老服务的商家数量达915家。驻区单位共建共用合作不断深化，单位食堂向社区开放，开放老年大学、共建养老驿站等举措取得突破。公共服务资源跨区域合作更加深入，与河北阜平县、内蒙喀喇沁旗等地建立劳动力转移就业协作机制，在四川攀枝花市米易县等地建立“康养示范基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在充分肯定“十三五”时期西城基本公共服务取得成绩的同时，也不能忽略发展中存在的一些突出问题：一是某些公共服务领域的供需矛盾仍然存在，义务教育、体育设施、住房保障、养老服务等方面的设施短板还比较明显。二是社会力量参与公共服务的相关机制仍需完善，一些领域存在社会力量参与较少、驻区单位参与相对不足、社会资本参与的动力不强、市场主体服务标准不太明确、社会参与的长效机制还不健全等问题。三是基本公共服务人才队伍建设还有不足，在教育、医疗、文化、养老等领域存在专业人才规模相对不足、质量仍需进一步提升的问题。四是基本公共服务领域信息化建设水平仍然相对滞后，服务覆盖、信息共享、大数据分析能力等</w:t>
      </w:r>
      <w:r>
        <w:rPr>
          <w:rFonts w:hint="eastAsia" w:ascii="仿宋_GB2312" w:hAnsi="仿宋" w:eastAsia="仿宋_GB2312" w:cs="Times New Roman"/>
          <w:sz w:val="32"/>
          <w:szCs w:val="32"/>
          <w:highlight w:val="none"/>
          <w:lang w:eastAsia="zh-CN"/>
        </w:rPr>
        <w:t>方面还有待提升</w:t>
      </w:r>
      <w:r>
        <w:rPr>
          <w:rFonts w:hint="eastAsia" w:ascii="仿宋_GB2312" w:hAnsi="仿宋"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ascii="黑体" w:hAnsi="黑体" w:eastAsia="黑体" w:cs="Times New Roman"/>
          <w:kern w:val="0"/>
          <w:sz w:val="32"/>
          <w:szCs w:val="32"/>
          <w:highlight w:val="none"/>
        </w:rPr>
      </w:pPr>
      <w:bookmarkStart w:id="3" w:name="_Toc70297248"/>
      <w:r>
        <w:rPr>
          <w:rFonts w:ascii="黑体" w:hAnsi="黑体" w:eastAsia="黑体" w:cs="Times New Roman"/>
          <w:kern w:val="0"/>
          <w:sz w:val="32"/>
          <w:szCs w:val="32"/>
          <w:highlight w:val="none"/>
        </w:rPr>
        <w:t>二、发展要求</w:t>
      </w:r>
      <w:bookmarkEnd w:id="3"/>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基本公共服务是实现</w:t>
      </w:r>
      <w:r>
        <w:rPr>
          <w:rFonts w:hint="eastAsia" w:ascii="Times New Roman" w:hAnsi="Times New Roman" w:eastAsia="仿宋_GB2312" w:cs="Times New Roman"/>
          <w:sz w:val="32"/>
          <w:szCs w:val="32"/>
          <w:highlight w:val="none"/>
        </w:rPr>
        <w:t>首都</w:t>
      </w:r>
      <w:r>
        <w:rPr>
          <w:rFonts w:ascii="Times New Roman" w:hAnsi="Times New Roman" w:eastAsia="仿宋_GB2312" w:cs="Times New Roman"/>
          <w:sz w:val="32"/>
          <w:szCs w:val="32"/>
          <w:highlight w:val="none"/>
        </w:rPr>
        <w:t>核心区发展目标的</w:t>
      </w:r>
      <w:r>
        <w:rPr>
          <w:rFonts w:hint="eastAsia" w:ascii="Times New Roman" w:hAnsi="Times New Roman" w:eastAsia="仿宋_GB2312" w:cs="Times New Roman"/>
          <w:sz w:val="32"/>
          <w:szCs w:val="32"/>
          <w:highlight w:val="none"/>
        </w:rPr>
        <w:t>重要</w:t>
      </w:r>
      <w:r>
        <w:rPr>
          <w:rFonts w:ascii="Times New Roman" w:hAnsi="Times New Roman" w:eastAsia="仿宋_GB2312" w:cs="Times New Roman"/>
          <w:sz w:val="32"/>
          <w:szCs w:val="32"/>
          <w:highlight w:val="none"/>
        </w:rPr>
        <w:t>保障，也是</w:t>
      </w:r>
      <w:r>
        <w:rPr>
          <w:rFonts w:hint="eastAsia" w:ascii="Times New Roman" w:hAnsi="Times New Roman" w:eastAsia="仿宋_GB2312" w:cs="Times New Roman"/>
          <w:sz w:val="32"/>
          <w:szCs w:val="32"/>
          <w:highlight w:val="none"/>
        </w:rPr>
        <w:t>保障</w:t>
      </w:r>
      <w:r>
        <w:rPr>
          <w:rFonts w:ascii="Times New Roman" w:hAnsi="Times New Roman" w:eastAsia="仿宋_GB2312" w:cs="Times New Roman"/>
          <w:sz w:val="32"/>
          <w:szCs w:val="32"/>
          <w:highlight w:val="none"/>
        </w:rPr>
        <w:t>首都人民高品质生活的</w:t>
      </w:r>
      <w:r>
        <w:rPr>
          <w:rFonts w:hint="eastAsia" w:ascii="Times New Roman" w:hAnsi="Times New Roman" w:eastAsia="仿宋_GB2312" w:cs="Times New Roman"/>
          <w:sz w:val="32"/>
          <w:szCs w:val="32"/>
          <w:highlight w:val="none"/>
        </w:rPr>
        <w:t>重要基础。进入新发展阶段，</w:t>
      </w:r>
      <w:r>
        <w:rPr>
          <w:rFonts w:ascii="Times New Roman" w:hAnsi="Times New Roman" w:eastAsia="仿宋_GB2312" w:cs="Times New Roman"/>
          <w:sz w:val="32"/>
          <w:szCs w:val="32"/>
          <w:highlight w:val="none"/>
        </w:rPr>
        <w:t>西城区基本公共服务建设</w:t>
      </w:r>
      <w:r>
        <w:rPr>
          <w:rFonts w:hint="eastAsia" w:ascii="Times New Roman" w:hAnsi="Times New Roman" w:eastAsia="仿宋_GB2312" w:cs="Times New Roman"/>
          <w:sz w:val="32"/>
          <w:szCs w:val="32"/>
          <w:highlight w:val="none"/>
        </w:rPr>
        <w:t>面临新形势新要求，要始终坚持新发展理念，</w:t>
      </w:r>
      <w:r>
        <w:rPr>
          <w:rFonts w:ascii="Times New Roman" w:hAnsi="Times New Roman" w:eastAsia="仿宋_GB2312" w:cs="Times New Roman"/>
          <w:sz w:val="32"/>
          <w:szCs w:val="32"/>
          <w:highlight w:val="none"/>
        </w:rPr>
        <w:t>抓住历史新机遇、应对发展新挑战，着眼人民新需求，为基本实现公共服务现代化奠定坚实基础。</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——以首都功能核心区的战略定位为遵循。</w:t>
      </w:r>
      <w:r>
        <w:rPr>
          <w:rFonts w:hint="eastAsia" w:ascii="仿宋_GB2312" w:hAnsi="仿宋_GB2312" w:eastAsia="仿宋_GB2312" w:cs="仿宋_GB2312"/>
          <w:sz w:val="32"/>
          <w:szCs w:val="32"/>
          <w:highlight w:val="none"/>
        </w:rPr>
        <w:t>《总规》和《控规》确定了西城区作为首都核心功能区、历史文化名城重点保护区和展示国家首都形象重要窗口地区的战略定位，明确“构建优质均衡的公共服务体系”的规划目标和举措，提出探索在有限空间内高品质公共服务的多元化、均衡化、人性化供给机制，立足更高站位、对标首善要求、注重文化特色、发挥示范作用。</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——以社会人口结构的新特点为基础。</w:t>
      </w:r>
      <w:r>
        <w:rPr>
          <w:rFonts w:hint="eastAsia" w:ascii="仿宋_GB2312" w:hAnsi="仿宋_GB2312" w:eastAsia="仿宋_GB2312" w:cs="仿宋_GB2312"/>
          <w:sz w:val="32"/>
          <w:szCs w:val="32"/>
          <w:highlight w:val="none"/>
        </w:rPr>
        <w:t>“十四五”时期全区常住人口规模预计从“十三五”末的</w:t>
      </w:r>
      <w:r>
        <w:rPr>
          <w:rFonts w:hint="eastAsia" w:ascii="仿宋_GB2312" w:hAnsi="仿宋_GB2312" w:eastAsia="仿宋_GB2312" w:cs="仿宋_GB2312"/>
          <w:sz w:val="32"/>
          <w:szCs w:val="32"/>
          <w:highlight w:val="none"/>
          <w:lang w:val="en-US" w:eastAsia="zh-CN"/>
        </w:rPr>
        <w:t>110.6</w:t>
      </w:r>
      <w:r>
        <w:rPr>
          <w:rFonts w:hint="eastAsia" w:ascii="仿宋_GB2312" w:hAnsi="仿宋_GB2312" w:eastAsia="仿宋_GB2312" w:cs="仿宋_GB2312"/>
          <w:sz w:val="32"/>
          <w:szCs w:val="32"/>
          <w:highlight w:val="none"/>
        </w:rPr>
        <w:t>万下降到</w:t>
      </w:r>
      <w:r>
        <w:rPr>
          <w:rFonts w:hint="eastAsia" w:ascii="仿宋_GB2312" w:hAnsi="仿宋_GB2312" w:eastAsia="仿宋_GB2312" w:cs="仿宋_GB2312"/>
          <w:sz w:val="32"/>
          <w:szCs w:val="32"/>
          <w:highlight w:val="none"/>
          <w:lang w:val="en-US" w:eastAsia="zh-CN"/>
        </w:rPr>
        <w:t>109.6</w:t>
      </w:r>
      <w:r>
        <w:rPr>
          <w:rFonts w:hint="eastAsia" w:ascii="仿宋_GB2312" w:hAnsi="仿宋_GB2312" w:eastAsia="仿宋_GB2312" w:cs="仿宋_GB2312"/>
          <w:sz w:val="32"/>
          <w:szCs w:val="32"/>
          <w:highlight w:val="none"/>
        </w:rPr>
        <w:t>万人左右，其中60岁以上人口比例继续上升，深度老龄化、“高龄化”和“空巢化”问题更加突出；义务教育阶段学龄人口持续增长，解决学位缺口刻不容缓；劳动力人口比例相对降低，社会总抚养比进一步走高，社会保障需求更加热切，人户分离情况普遍存在、职住分离在一些地区比较明显，这对本区基本公共服务精准性、有效性和可持续性提出更高要求。</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——以内外复杂环境的新挑战为抓手。</w:t>
      </w:r>
      <w:r>
        <w:rPr>
          <w:rFonts w:hint="eastAsia" w:ascii="仿宋_GB2312" w:hAnsi="仿宋_GB2312" w:eastAsia="仿宋_GB2312" w:cs="仿宋_GB2312"/>
          <w:sz w:val="32"/>
          <w:szCs w:val="32"/>
          <w:highlight w:val="none"/>
        </w:rPr>
        <w:t>面临“百年未有之大变局”，国际形势复杂性和不确定性可能进一步加剧，国内经济结构调整、发展方式转变的阵痛期仍将持续较长时间，防范新冠疫情反弹的风险和压力长期存在，区域经济发展下行压力加大，财政收入面临下降风险，维护社会安全稳定的任务更加艰巨。基本公共服务在补短板、扬优长、强弱项、防风险的要求更加突出，在公共安全与应急管理方面面临的挑战更加复杂，必须积极稳妥应对。</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——以人民对美好生活新期许为目标。</w:t>
      </w:r>
      <w:r>
        <w:rPr>
          <w:rFonts w:hint="eastAsia" w:ascii="仿宋_GB2312" w:hAnsi="仿宋_GB2312" w:eastAsia="仿宋_GB2312" w:cs="仿宋_GB2312"/>
          <w:sz w:val="32"/>
          <w:szCs w:val="32"/>
          <w:highlight w:val="none"/>
        </w:rPr>
        <w:t>随着经济社会发展进步，人民需求呈现多样化、个性化趋势，在劳有所得、病有所医、老有所养、住有所居、弱有所扶、幼有所育、学有所教的要求更高，对安全性、公正性、便利性、宜居性和多样性的期待更多。“十四五”时期必须着眼人民群众对美好生活的向往和期许，加快基本公共服务的提质转型工作，推动社区治理和服务体系建设，向基层放权赋能，加强社会治理队伍和能力建设，提高对多层次、多样化、特色化服务需求的适应能力。</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baseline"/>
        <w:rPr>
          <w:rFonts w:ascii="Times New Roman" w:hAnsi="Times New Roman" w:eastAsia="仿宋_GB2312" w:cs="Times New Roman"/>
          <w:sz w:val="32"/>
          <w:szCs w:val="32"/>
          <w:highlight w:val="none"/>
        </w:rPr>
      </w:pPr>
      <w:r>
        <w:rPr>
          <w:rFonts w:hint="eastAsia" w:ascii="仿宋_GB2312" w:hAnsi="仿宋_GB2312" w:eastAsia="仿宋_GB2312" w:cs="仿宋_GB2312"/>
          <w:b/>
          <w:sz w:val="32"/>
          <w:szCs w:val="32"/>
          <w:highlight w:val="none"/>
        </w:rPr>
        <w:t>——以技术发展革新的新机遇为契机。</w:t>
      </w:r>
      <w:r>
        <w:rPr>
          <w:rFonts w:hint="eastAsia" w:ascii="仿宋_GB2312" w:hAnsi="仿宋_GB2312" w:eastAsia="仿宋_GB2312" w:cs="仿宋_GB2312"/>
          <w:sz w:val="32"/>
          <w:szCs w:val="32"/>
          <w:highlight w:val="none"/>
        </w:rPr>
        <w:t>“十四五”是智能化、数字化新技术、新产业深度融入服务保障、产业升级、环境建设、民生福祉等领域，智慧城市与智能治理全面推进的发展时期。西城区在基本公共服务建设上要紧紧抓住技术革新的历史机遇，抓住新技术革命全方位融入社会发展的有利条件，大力推进基本公共服务基础设施智能化、管理运营信息化、服务供给精准化。</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baseline"/>
        <w:outlineLvl w:val="0"/>
        <w:rPr>
          <w:rFonts w:hint="eastAsia" w:ascii="黑体" w:hAnsi="黑体" w:eastAsia="黑体" w:cs="仿宋"/>
          <w:kern w:val="0"/>
          <w:sz w:val="32"/>
          <w:szCs w:val="32"/>
          <w:highlight w:val="none"/>
        </w:rPr>
      </w:pPr>
      <w:bookmarkStart w:id="4" w:name="_Toc70297249"/>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baseline"/>
        <w:outlineLvl w:val="0"/>
        <w:rPr>
          <w:rFonts w:hint="eastAsia" w:ascii="黑体" w:hAnsi="黑体" w:eastAsia="黑体" w:cs="仿宋"/>
          <w:kern w:val="0"/>
          <w:sz w:val="32"/>
          <w:szCs w:val="32"/>
          <w:highlight w:val="none"/>
        </w:rPr>
      </w:pPr>
      <w:r>
        <w:rPr>
          <w:rFonts w:hint="eastAsia" w:ascii="黑体" w:hAnsi="黑体" w:eastAsia="黑体" w:cs="仿宋"/>
          <w:kern w:val="0"/>
          <w:sz w:val="32"/>
          <w:szCs w:val="32"/>
          <w:highlight w:val="none"/>
        </w:rPr>
        <w:t>第二章 规划思路</w:t>
      </w:r>
      <w:bookmarkEnd w:id="4"/>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ascii="黑体" w:hAnsi="黑体" w:eastAsia="黑体" w:cs="Times New Roman"/>
          <w:kern w:val="0"/>
          <w:sz w:val="32"/>
          <w:szCs w:val="32"/>
          <w:highlight w:val="none"/>
        </w:rPr>
      </w:pPr>
      <w:bookmarkStart w:id="5" w:name="_Toc70297250"/>
      <w:bookmarkStart w:id="6" w:name="_Toc53444958"/>
      <w:bookmarkStart w:id="7" w:name="_Toc56123399"/>
      <w:r>
        <w:rPr>
          <w:rFonts w:ascii="黑体" w:hAnsi="黑体" w:eastAsia="黑体" w:cs="Times New Roman"/>
          <w:kern w:val="0"/>
          <w:sz w:val="32"/>
          <w:szCs w:val="32"/>
          <w:highlight w:val="none"/>
        </w:rPr>
        <w:t>一、指导思想</w:t>
      </w:r>
      <w:bookmarkEnd w:id="5"/>
      <w:bookmarkEnd w:id="6"/>
      <w:bookmarkEnd w:id="7"/>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高举中国特色社会主义伟大旗帜，深入贯彻党的十九大和十九届</w:t>
      </w:r>
      <w:r>
        <w:rPr>
          <w:rFonts w:hint="eastAsia" w:ascii="仿宋_GB2312" w:hAnsi="仿宋_GB2312" w:eastAsia="仿宋_GB2312" w:cs="仿宋_GB2312"/>
          <w:strike w:val="0"/>
          <w:dstrike w:val="0"/>
          <w:sz w:val="32"/>
          <w:szCs w:val="32"/>
          <w:highlight w:val="none"/>
          <w:lang w:eastAsia="zh-CN"/>
        </w:rPr>
        <w:t>历次</w:t>
      </w:r>
      <w:r>
        <w:rPr>
          <w:rFonts w:hint="eastAsia" w:ascii="仿宋_GB2312" w:hAnsi="仿宋_GB2312" w:eastAsia="仿宋_GB2312" w:cs="仿宋_GB2312"/>
          <w:sz w:val="32"/>
          <w:szCs w:val="32"/>
          <w:highlight w:val="none"/>
        </w:rPr>
        <w:t>全会精神，坚持以马克思列宁主义、毛泽东思想、邓小平理论、“三个代表”重要思想、科学发展观、习近平新时代中国特色社会主义思想为指导，</w:t>
      </w:r>
      <w:r>
        <w:rPr>
          <w:rFonts w:hint="eastAsia" w:ascii="仿宋_GB2312" w:hAnsi="仿宋_GB2312" w:eastAsia="仿宋_GB2312" w:cs="仿宋_GB2312"/>
          <w:sz w:val="32"/>
          <w:szCs w:val="32"/>
          <w:highlight w:val="none"/>
          <w:lang w:eastAsia="zh-CN"/>
        </w:rPr>
        <w:t>牢记让人民生活幸福就是“国之大者”，</w:t>
      </w:r>
      <w:r>
        <w:rPr>
          <w:rFonts w:hint="eastAsia" w:ascii="仿宋_GB2312" w:hAnsi="仿宋_GB2312" w:eastAsia="仿宋_GB2312" w:cs="仿宋_GB2312"/>
          <w:sz w:val="32"/>
          <w:szCs w:val="32"/>
          <w:highlight w:val="none"/>
        </w:rPr>
        <w:t>紧紧围绕“四个中心”首都城市功能定位，深入贯彻落实功能核心区战略目标，以满足居民多样化需求为导向，以“七有”、“五性”为标准，以提升西城区基本公共服务质量为抓手，以全面整合公共服务资源为机制，着眼于补短板、提品质、推改革、惠民生，加快推进城市公共服务能力现代化建设，加大改革创新力度，全面提升公共服务设施的整合、复合和融合水平，构建优质均等、普惠便捷、智能高效、国际一流的基本公共服务体系，</w:t>
      </w:r>
      <w:r>
        <w:rPr>
          <w:rFonts w:hint="eastAsia" w:ascii="仿宋_GB2312" w:hAnsi="仿宋_GB2312" w:eastAsia="仿宋_GB2312" w:cs="仿宋_GB2312"/>
          <w:sz w:val="32"/>
          <w:szCs w:val="32"/>
          <w:highlight w:val="none"/>
          <w:lang w:val="en-US" w:eastAsia="zh-CN"/>
        </w:rPr>
        <w:t>为率先基本实现社会主义现代化开好局、起好步。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ascii="黑体" w:hAnsi="黑体" w:eastAsia="黑体" w:cs="Times New Roman"/>
          <w:kern w:val="0"/>
          <w:sz w:val="32"/>
          <w:szCs w:val="32"/>
          <w:highlight w:val="none"/>
        </w:rPr>
      </w:pPr>
      <w:bookmarkStart w:id="8" w:name="_Toc56123400"/>
      <w:bookmarkStart w:id="9" w:name="_Toc53444959"/>
      <w:bookmarkStart w:id="10" w:name="_Toc70297251"/>
      <w:bookmarkStart w:id="11" w:name="_Toc40141332"/>
      <w:r>
        <w:rPr>
          <w:rFonts w:ascii="黑体" w:hAnsi="黑体" w:eastAsia="黑体" w:cs="Times New Roman"/>
          <w:kern w:val="0"/>
          <w:sz w:val="32"/>
          <w:szCs w:val="32"/>
          <w:highlight w:val="none"/>
        </w:rPr>
        <w:t>二、基本原则</w:t>
      </w:r>
      <w:bookmarkEnd w:id="8"/>
      <w:bookmarkEnd w:id="9"/>
      <w:bookmarkEnd w:id="10"/>
      <w:bookmarkEnd w:id="11"/>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baseline"/>
        <w:rPr>
          <w:rFonts w:hint="eastAsia" w:ascii="仿宋_GB2312" w:hAnsi="仿宋_GB2312" w:eastAsia="仿宋_GB2312" w:cs="仿宋_GB2312"/>
          <w:bCs/>
          <w:sz w:val="32"/>
          <w:szCs w:val="32"/>
          <w:highlight w:val="none"/>
        </w:rPr>
      </w:pPr>
      <w:r>
        <w:rPr>
          <w:rFonts w:hint="eastAsia" w:ascii="仿宋_GB2312" w:hAnsi="仿宋_GB2312" w:eastAsia="仿宋_GB2312" w:cs="仿宋_GB2312"/>
          <w:b/>
          <w:bCs/>
          <w:sz w:val="32"/>
          <w:szCs w:val="32"/>
          <w:highlight w:val="none"/>
        </w:rPr>
        <w:t>——政府主导、广泛参与。</w:t>
      </w:r>
      <w:r>
        <w:rPr>
          <w:rFonts w:hint="eastAsia" w:ascii="仿宋_GB2312" w:hAnsi="仿宋_GB2312" w:eastAsia="仿宋_GB2312" w:cs="仿宋_GB2312"/>
          <w:bCs/>
          <w:sz w:val="32"/>
          <w:szCs w:val="32"/>
          <w:highlight w:val="none"/>
        </w:rPr>
        <w:t>突出政府在基本公共服务供给中的主导地位，进一步完善政府在标准制定与落实、政策支持与促进方面的关键性作用。创新基本公共服务供给模式，积极引导有资质的社会组织、企事业单位和公众参与基本公共服务，构建更加完善的招标机制、竞争机制、互助服务和自我服务机制，激发社会内生动力，形成多元主体参与、多种方式供给、公平有序竞争的基本公共服务供给格局。</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baseline"/>
        <w:rPr>
          <w:rFonts w:hint="eastAsia" w:ascii="仿宋_GB2312" w:hAnsi="仿宋_GB2312" w:eastAsia="仿宋_GB2312" w:cs="仿宋_GB2312"/>
          <w:bCs/>
          <w:sz w:val="32"/>
          <w:szCs w:val="32"/>
          <w:highlight w:val="none"/>
        </w:rPr>
      </w:pPr>
      <w:r>
        <w:rPr>
          <w:rFonts w:hint="eastAsia" w:ascii="仿宋_GB2312" w:hAnsi="仿宋_GB2312" w:eastAsia="仿宋_GB2312" w:cs="仿宋_GB2312"/>
          <w:b/>
          <w:bCs/>
          <w:sz w:val="32"/>
          <w:szCs w:val="32"/>
          <w:highlight w:val="none"/>
        </w:rPr>
        <w:t>——整合资源、设施共享。</w:t>
      </w:r>
      <w:r>
        <w:rPr>
          <w:rFonts w:hint="eastAsia" w:ascii="仿宋_GB2312" w:hAnsi="仿宋_GB2312" w:eastAsia="仿宋_GB2312" w:cs="仿宋_GB2312"/>
          <w:bCs/>
          <w:sz w:val="32"/>
          <w:szCs w:val="32"/>
          <w:highlight w:val="none"/>
        </w:rPr>
        <w:t>以社区生活圈为单位，充分利用公共事务用地、混合用地政策和在途项目、低效楼宇、产业园区相关政策，因地制宜、有所侧重地优化公共服务设施配置，通过与商业设施混合设置、与适宜公共服务设施复合设置，同一空间分时共享、多功能混合配置等集约设置方式，促进空间集约高效利用，增强公共服务设施的便利性与适应性，优化组合利用效益。</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baseline"/>
        <w:rPr>
          <w:rFonts w:hint="eastAsia" w:ascii="仿宋_GB2312" w:hAnsi="仿宋_GB2312" w:eastAsia="仿宋_GB2312" w:cs="仿宋_GB2312"/>
          <w:bCs/>
          <w:sz w:val="32"/>
          <w:szCs w:val="32"/>
          <w:highlight w:val="none"/>
        </w:rPr>
      </w:pPr>
      <w:r>
        <w:rPr>
          <w:rFonts w:hint="eastAsia" w:ascii="仿宋_GB2312" w:hAnsi="仿宋_GB2312" w:eastAsia="仿宋_GB2312" w:cs="仿宋_GB2312"/>
          <w:b/>
          <w:bCs/>
          <w:sz w:val="32"/>
          <w:szCs w:val="32"/>
          <w:highlight w:val="none"/>
        </w:rPr>
        <w:t>——创新机制、精准供给。</w:t>
      </w:r>
      <w:r>
        <w:rPr>
          <w:rFonts w:hint="eastAsia" w:ascii="仿宋_GB2312" w:hAnsi="仿宋_GB2312" w:eastAsia="仿宋_GB2312" w:cs="仿宋_GB2312"/>
          <w:bCs/>
          <w:sz w:val="32"/>
          <w:szCs w:val="32"/>
          <w:highlight w:val="none"/>
        </w:rPr>
        <w:t>顺应人民美好生活向往推动基本公共服务供给改革，构建基本保障型、普惠公益型、市场供给型相结合的新型基本公共服务供给机制。着眼社会成员差异性需求持续提升公共服务精准化程度，不断增强公共服务的可得性、便利性、品质性，在更高水平上满足人民群众日益增长的美好生活新期待。</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baseline"/>
        <w:rPr>
          <w:rFonts w:hint="eastAsia" w:ascii="仿宋_GB2312" w:hAnsi="仿宋_GB2312" w:eastAsia="仿宋_GB2312" w:cs="仿宋_GB2312"/>
          <w:bCs/>
          <w:sz w:val="32"/>
          <w:szCs w:val="32"/>
          <w:highlight w:val="none"/>
        </w:rPr>
      </w:pPr>
      <w:r>
        <w:rPr>
          <w:rFonts w:hint="eastAsia" w:ascii="仿宋_GB2312" w:hAnsi="仿宋_GB2312" w:eastAsia="仿宋_GB2312" w:cs="仿宋_GB2312"/>
          <w:b/>
          <w:bCs/>
          <w:sz w:val="32"/>
          <w:szCs w:val="32"/>
          <w:highlight w:val="none"/>
        </w:rPr>
        <w:t>——立足常态、兼顾应急。</w:t>
      </w:r>
      <w:r>
        <w:rPr>
          <w:rFonts w:hint="eastAsia" w:ascii="仿宋_GB2312" w:hAnsi="仿宋_GB2312" w:eastAsia="仿宋_GB2312" w:cs="仿宋_GB2312"/>
          <w:bCs/>
          <w:sz w:val="32"/>
          <w:szCs w:val="32"/>
          <w:highlight w:val="none"/>
        </w:rPr>
        <w:t>着眼人民基本生活需要，更加贴近生活、融入生活，不断提升基本公共服务设施资源的使用效率，将有限的服务资源最大限度地应用于群众需要的服务项目上。同时要更加重视突发事件及其他非常规社会状态下的公共服务供给机制，不断完善基于非常规状态下的公共服务供给预案、设施和管理，提升核心区公共服务韧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ascii="黑体" w:hAnsi="黑体" w:eastAsia="黑体" w:cs="Times New Roman"/>
          <w:kern w:val="0"/>
          <w:sz w:val="32"/>
          <w:szCs w:val="32"/>
          <w:highlight w:val="none"/>
        </w:rPr>
      </w:pPr>
      <w:bookmarkStart w:id="12" w:name="_Toc53444960"/>
      <w:bookmarkStart w:id="13" w:name="_Toc70297252"/>
      <w:bookmarkStart w:id="14" w:name="_Toc40141333"/>
      <w:bookmarkStart w:id="15" w:name="_Toc56123401"/>
      <w:r>
        <w:rPr>
          <w:rFonts w:ascii="黑体" w:hAnsi="黑体" w:eastAsia="黑体" w:cs="Times New Roman"/>
          <w:kern w:val="0"/>
          <w:sz w:val="32"/>
          <w:szCs w:val="32"/>
          <w:highlight w:val="none"/>
        </w:rPr>
        <w:t>三、发展目标</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baseline"/>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十四五”时期西城区基本公共服务发展的目标是：到2025年，基本公共服务短板得到有效补齐，教育、健康、就业、养老、公共安全等基本需求高质量满足，文化、体育、生活便利服务等多元需求高标准保障，集约型、组合型、网络化的公共服务设施体系更加完善，基于职住人口比例特点的基本公共供给更加精准、更具特色，稳定预期、风险可抗的公共服务保障网络更加牢固，有限空间内的高品质公共服务供给机制逐步建立，基本公共服务产品能够更加便利、均衡、优质、高效地惠及全体人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baseline"/>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展望2035年，西城区基本公共服务将更加优质均衡，教育、卫生现代化建设达到新高度，文化、体育服务供给呈现新品质，幼有善育、学有优教、劳有厚得、病有良医、老有颐养、住有宜居、弱有众扶在更高水平上实现，人民获得感成色更足、幸福感更可持续、安全感更有保障，人的全面发展取得更加实质性进展。</w:t>
      </w:r>
    </w:p>
    <w:p>
      <w:pPr>
        <w:keepNext w:val="0"/>
        <w:keepLines w:val="0"/>
        <w:pageBreakBefore w:val="0"/>
        <w:widowControl w:val="0"/>
        <w:kinsoku/>
        <w:wordWrap/>
        <w:overflowPunct/>
        <w:topLinePunct w:val="0"/>
        <w:autoSpaceDE/>
        <w:autoSpaceDN/>
        <w:bidi w:val="0"/>
        <w:adjustRightInd/>
        <w:spacing w:line="560" w:lineRule="exact"/>
        <w:ind w:firstLine="321" w:firstLineChars="100"/>
        <w:jc w:val="both"/>
        <w:textAlignment w:val="baseline"/>
        <w:rPr>
          <w:rFonts w:hint="eastAsia" w:ascii="仿宋_GB2312" w:hAnsi="仿宋_GB2312" w:eastAsia="仿宋_GB2312" w:cs="仿宋_GB2312"/>
          <w:bCs/>
          <w:sz w:val="32"/>
          <w:szCs w:val="32"/>
          <w:highlight w:val="none"/>
        </w:rPr>
      </w:pPr>
      <w:r>
        <w:rPr>
          <w:rFonts w:hint="eastAsia" w:ascii="仿宋_GB2312" w:hAnsi="仿宋_GB2312" w:eastAsia="仿宋_GB2312" w:cs="仿宋_GB2312"/>
          <w:b/>
          <w:bCs/>
          <w:sz w:val="32"/>
          <w:szCs w:val="32"/>
          <w:highlight w:val="none"/>
        </w:rPr>
        <w:t xml:space="preserve">  ——需求导向、全龄关怀的服务内容框架有效建立。</w:t>
      </w:r>
      <w:r>
        <w:rPr>
          <w:rFonts w:hint="eastAsia" w:ascii="仿宋_GB2312" w:hAnsi="仿宋_GB2312" w:eastAsia="仿宋_GB2312" w:cs="仿宋_GB2312"/>
          <w:bCs/>
          <w:sz w:val="32"/>
          <w:szCs w:val="32"/>
          <w:highlight w:val="none"/>
        </w:rPr>
        <w:t>突出公共服务的需求导向性，形成贯穿出生、教育、就业、婚育、居住、就诊、养老、临终等全生命历程的基本公共服务体系，面向不同年龄段群体构建更有针对性的服务机制，全面提升公共服务的便捷性、精准性、有效性、普惠性，顺应居民日益增长的多样化需求和个性化期待，切实解决好市民的生活需要，提高生活品质。</w:t>
      </w:r>
    </w:p>
    <w:p>
      <w:pPr>
        <w:keepNext w:val="0"/>
        <w:keepLines w:val="0"/>
        <w:pageBreakBefore w:val="0"/>
        <w:widowControl w:val="0"/>
        <w:kinsoku/>
        <w:wordWrap/>
        <w:overflowPunct/>
        <w:topLinePunct w:val="0"/>
        <w:autoSpaceDE/>
        <w:autoSpaceDN/>
        <w:bidi w:val="0"/>
        <w:adjustRightInd/>
        <w:spacing w:line="560" w:lineRule="exact"/>
        <w:ind w:firstLine="570"/>
        <w:jc w:val="both"/>
        <w:textAlignment w:val="baseline"/>
        <w:rPr>
          <w:rFonts w:hint="eastAsia" w:ascii="仿宋_GB2312" w:hAnsi="仿宋_GB2312" w:eastAsia="仿宋_GB2312" w:cs="仿宋_GB2312"/>
          <w:bCs/>
          <w:sz w:val="32"/>
          <w:szCs w:val="32"/>
          <w:highlight w:val="none"/>
        </w:rPr>
      </w:pPr>
      <w:r>
        <w:rPr>
          <w:rFonts w:hint="eastAsia" w:ascii="仿宋_GB2312" w:hAnsi="仿宋_GB2312" w:eastAsia="仿宋_GB2312" w:cs="仿宋_GB2312"/>
          <w:b/>
          <w:bCs/>
          <w:sz w:val="32"/>
          <w:szCs w:val="32"/>
          <w:highlight w:val="none"/>
        </w:rPr>
        <w:t>——均衡协调、优质可及的服务设施网络更加完备。</w:t>
      </w:r>
      <w:r>
        <w:rPr>
          <w:rFonts w:hint="eastAsia" w:ascii="仿宋_GB2312" w:hAnsi="仿宋_GB2312" w:eastAsia="仿宋_GB2312" w:cs="仿宋_GB2312"/>
          <w:bCs/>
          <w:sz w:val="32"/>
          <w:szCs w:val="32"/>
          <w:highlight w:val="none"/>
        </w:rPr>
        <w:t>推动基本公共服务资源的协调均衡，依据不同街区的人口特点和公共服务资源情况，同时兼顾《总规》、《控规》的具体要求，有的放矢改进基本公共服务设施布局，不断提升服务设施与人口结构的匹配程度，不断加强服务资源的整合力度和利用能力，显著提升服务设施的利用效率，提升设施的可及性、多用性，实现公共服务网络的社会群体全覆盖。</w:t>
      </w:r>
    </w:p>
    <w:p>
      <w:pPr>
        <w:keepNext w:val="0"/>
        <w:keepLines w:val="0"/>
        <w:pageBreakBefore w:val="0"/>
        <w:widowControl w:val="0"/>
        <w:kinsoku/>
        <w:wordWrap/>
        <w:overflowPunct/>
        <w:topLinePunct w:val="0"/>
        <w:autoSpaceDE/>
        <w:autoSpaceDN/>
        <w:bidi w:val="0"/>
        <w:adjustRightInd/>
        <w:spacing w:line="560" w:lineRule="exact"/>
        <w:ind w:firstLine="570"/>
        <w:jc w:val="both"/>
        <w:textAlignment w:val="baseline"/>
        <w:rPr>
          <w:rFonts w:hint="eastAsia" w:ascii="仿宋_GB2312" w:hAnsi="仿宋_GB2312" w:eastAsia="仿宋_GB2312" w:cs="仿宋_GB2312"/>
          <w:bCs/>
          <w:sz w:val="32"/>
          <w:szCs w:val="32"/>
          <w:highlight w:val="none"/>
        </w:rPr>
      </w:pPr>
      <w:r>
        <w:rPr>
          <w:rFonts w:hint="eastAsia" w:ascii="仿宋_GB2312" w:hAnsi="仿宋_GB2312" w:eastAsia="仿宋_GB2312" w:cs="仿宋_GB2312"/>
          <w:b/>
          <w:bCs/>
          <w:sz w:val="32"/>
          <w:szCs w:val="32"/>
          <w:highlight w:val="none"/>
        </w:rPr>
        <w:t>——集约高效、多元参与的服务供给机制持续优化。</w:t>
      </w:r>
      <w:r>
        <w:rPr>
          <w:rFonts w:hint="eastAsia" w:ascii="仿宋_GB2312" w:hAnsi="仿宋_GB2312" w:eastAsia="仿宋_GB2312" w:cs="仿宋_GB2312"/>
          <w:bCs/>
          <w:sz w:val="32"/>
          <w:szCs w:val="32"/>
          <w:highlight w:val="none"/>
        </w:rPr>
        <w:t>不断完善基本公共服务的供给格局，推动基本公共服务供给能力与供给体系现代化建设，大力提升基本公共服务供给的集约化程度，探索在有限空间内实现基本公共服务高效供给的体制机制。进一步激发各类服务供给主体的积极性，形成多种类型并举的公共服务供给方式，逐步完善居民多样化需求表达机制，持续优化基本公共服务评估监督体系。</w:t>
      </w:r>
    </w:p>
    <w:p>
      <w:pPr>
        <w:keepNext w:val="0"/>
        <w:keepLines w:val="0"/>
        <w:pageBreakBefore w:val="0"/>
        <w:widowControl w:val="0"/>
        <w:kinsoku/>
        <w:wordWrap/>
        <w:overflowPunct/>
        <w:topLinePunct w:val="0"/>
        <w:autoSpaceDE/>
        <w:autoSpaceDN/>
        <w:bidi w:val="0"/>
        <w:adjustRightInd/>
        <w:spacing w:line="560" w:lineRule="exact"/>
        <w:ind w:firstLine="570"/>
        <w:jc w:val="both"/>
        <w:textAlignment w:val="baseline"/>
        <w:rPr>
          <w:rFonts w:hint="eastAsia" w:ascii="仿宋_GB2312" w:hAnsi="仿宋_GB2312" w:eastAsia="仿宋_GB2312" w:cs="仿宋_GB2312"/>
          <w:bCs/>
          <w:sz w:val="36"/>
          <w:szCs w:val="36"/>
          <w:highlight w:val="none"/>
        </w:rPr>
      </w:pPr>
      <w:r>
        <w:rPr>
          <w:rFonts w:hint="eastAsia" w:ascii="仿宋_GB2312" w:hAnsi="仿宋_GB2312" w:eastAsia="仿宋_GB2312" w:cs="仿宋_GB2312"/>
          <w:b/>
          <w:bCs/>
          <w:sz w:val="32"/>
          <w:szCs w:val="32"/>
          <w:highlight w:val="none"/>
        </w:rPr>
        <w:t>——智能高效、精细完备的服务管理体系显现实效。</w:t>
      </w:r>
      <w:r>
        <w:rPr>
          <w:rFonts w:hint="eastAsia" w:ascii="仿宋_GB2312" w:hAnsi="仿宋_GB2312" w:eastAsia="仿宋_GB2312" w:cs="仿宋_GB2312"/>
          <w:bCs/>
          <w:sz w:val="32"/>
          <w:szCs w:val="32"/>
          <w:highlight w:val="none"/>
        </w:rPr>
        <w:t>着眼工作需要和居民需求，将互联网、大数据等信息手段广泛运用于公共服务体系中。信息壁垒逐步打破、共享能力大幅提升，居民对公共服务项目、内容、方式、注意事项等方面的知晓率大幅提高，使用方式更加便捷，使用意愿不断增强，各类公共服务资源使用率显著增加。</w:t>
      </w:r>
      <w:bookmarkStart w:id="16" w:name="_Toc56123402"/>
    </w:p>
    <w:bookmarkEnd w:id="16"/>
    <w:p>
      <w:pPr>
        <w:keepLines/>
        <w:spacing w:before="156" w:after="156"/>
        <w:jc w:val="center"/>
        <w:textAlignment w:val="baseline"/>
        <w:rPr>
          <w:rFonts w:hint="eastAsia" w:ascii="黑体" w:hAnsi="黑体" w:eastAsia="黑体" w:cs="黑体"/>
          <w:b w:val="0"/>
          <w:bCs w:val="0"/>
          <w:sz w:val="36"/>
          <w:szCs w:val="36"/>
          <w:highlight w:val="none"/>
        </w:rPr>
      </w:pPr>
      <w:r>
        <w:rPr>
          <w:rFonts w:hint="eastAsia" w:ascii="黑体" w:hAnsi="黑体" w:eastAsia="黑体" w:cs="黑体"/>
          <w:b w:val="0"/>
          <w:bCs w:val="0"/>
          <w:sz w:val="36"/>
          <w:szCs w:val="36"/>
          <w:highlight w:val="none"/>
        </w:rPr>
        <w:t>西城区“十四五”时期基本公共服务主要发展指标表</w:t>
      </w:r>
    </w:p>
    <w:tbl>
      <w:tblPr>
        <w:tblStyle w:val="8"/>
        <w:tblW w:w="10348" w:type="dxa"/>
        <w:jc w:val="center"/>
        <w:tblLayout w:type="fixed"/>
        <w:tblCellMar>
          <w:top w:w="0" w:type="dxa"/>
          <w:left w:w="108" w:type="dxa"/>
          <w:bottom w:w="0" w:type="dxa"/>
          <w:right w:w="108" w:type="dxa"/>
        </w:tblCellMar>
      </w:tblPr>
      <w:tblGrid>
        <w:gridCol w:w="998"/>
        <w:gridCol w:w="709"/>
        <w:gridCol w:w="5239"/>
        <w:gridCol w:w="2127"/>
        <w:gridCol w:w="1275"/>
      </w:tblGrid>
      <w:tr>
        <w:tblPrEx>
          <w:tblCellMar>
            <w:top w:w="0" w:type="dxa"/>
            <w:left w:w="108" w:type="dxa"/>
            <w:bottom w:w="0" w:type="dxa"/>
            <w:right w:w="108" w:type="dxa"/>
          </w:tblCellMar>
        </w:tblPrEx>
        <w:trPr>
          <w:trHeight w:val="480" w:hRule="atLeast"/>
          <w:jc w:val="center"/>
        </w:trPr>
        <w:tc>
          <w:tcPr>
            <w:tcW w:w="99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baseline"/>
              <w:rPr>
                <w:rFonts w:ascii="仿宋_GB2312" w:hAnsi="Times New Roman" w:eastAsia="仿宋_GB2312" w:cs="Times New Roman"/>
                <w:b/>
                <w:bCs/>
                <w:color w:val="000000"/>
                <w:kern w:val="0"/>
                <w:sz w:val="24"/>
                <w:szCs w:val="24"/>
                <w:highlight w:val="none"/>
              </w:rPr>
            </w:pPr>
            <w:r>
              <w:rPr>
                <w:rFonts w:hint="eastAsia" w:ascii="仿宋_GB2312" w:hAnsi="宋体" w:eastAsia="仿宋_GB2312" w:cs="Times New Roman"/>
                <w:b/>
                <w:bCs/>
                <w:color w:val="000000"/>
                <w:kern w:val="0"/>
                <w:sz w:val="24"/>
                <w:szCs w:val="24"/>
                <w:highlight w:val="none"/>
              </w:rPr>
              <w:t>领域</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b/>
                <w:bCs/>
                <w:color w:val="000000"/>
                <w:kern w:val="0"/>
                <w:sz w:val="24"/>
                <w:szCs w:val="24"/>
                <w:highlight w:val="none"/>
              </w:rPr>
            </w:pPr>
            <w:r>
              <w:rPr>
                <w:rFonts w:hint="eastAsia" w:ascii="仿宋_GB2312" w:hAnsi="宋体" w:eastAsia="仿宋_GB2312" w:cs="Times New Roman"/>
                <w:b/>
                <w:bCs/>
                <w:color w:val="000000"/>
                <w:kern w:val="0"/>
                <w:sz w:val="24"/>
                <w:szCs w:val="24"/>
                <w:highlight w:val="none"/>
              </w:rPr>
              <w:t>序号</w:t>
            </w:r>
          </w:p>
        </w:tc>
        <w:tc>
          <w:tcPr>
            <w:tcW w:w="5239" w:type="dxa"/>
            <w:tcBorders>
              <w:top w:val="single" w:color="auto" w:sz="4" w:space="0"/>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b/>
                <w:bCs/>
                <w:color w:val="000000"/>
                <w:kern w:val="0"/>
                <w:sz w:val="24"/>
                <w:szCs w:val="24"/>
                <w:highlight w:val="none"/>
              </w:rPr>
            </w:pPr>
            <w:r>
              <w:rPr>
                <w:rFonts w:hint="eastAsia" w:ascii="仿宋_GB2312" w:hAnsi="宋体" w:eastAsia="仿宋_GB2312" w:cs="Times New Roman"/>
                <w:b/>
                <w:bCs/>
                <w:color w:val="000000"/>
                <w:kern w:val="0"/>
                <w:sz w:val="24"/>
                <w:szCs w:val="24"/>
                <w:highlight w:val="none"/>
              </w:rPr>
              <w:t>指标名称</w:t>
            </w:r>
          </w:p>
        </w:tc>
        <w:tc>
          <w:tcPr>
            <w:tcW w:w="2127" w:type="dxa"/>
            <w:tcBorders>
              <w:top w:val="single" w:color="auto" w:sz="4" w:space="0"/>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b/>
                <w:bCs/>
                <w:color w:val="000000"/>
                <w:kern w:val="0"/>
                <w:sz w:val="24"/>
                <w:szCs w:val="24"/>
                <w:highlight w:val="none"/>
              </w:rPr>
            </w:pPr>
            <w:r>
              <w:rPr>
                <w:rFonts w:hint="eastAsia" w:ascii="仿宋_GB2312" w:hAnsi="Times New Roman" w:eastAsia="仿宋_GB2312" w:cs="Times New Roman"/>
                <w:b/>
                <w:bCs/>
                <w:color w:val="000000"/>
                <w:kern w:val="0"/>
                <w:sz w:val="24"/>
                <w:szCs w:val="24"/>
                <w:highlight w:val="none"/>
              </w:rPr>
              <w:t>2025</w:t>
            </w:r>
            <w:r>
              <w:rPr>
                <w:rFonts w:hint="eastAsia" w:ascii="仿宋_GB2312" w:hAnsi="宋体" w:eastAsia="仿宋_GB2312" w:cs="Times New Roman"/>
                <w:b/>
                <w:bCs/>
                <w:color w:val="000000"/>
                <w:kern w:val="0"/>
                <w:sz w:val="24"/>
                <w:szCs w:val="24"/>
                <w:highlight w:val="none"/>
              </w:rPr>
              <w:t>年目标</w:t>
            </w:r>
          </w:p>
        </w:tc>
        <w:tc>
          <w:tcPr>
            <w:tcW w:w="1275" w:type="dxa"/>
            <w:tcBorders>
              <w:top w:val="single" w:color="auto" w:sz="4" w:space="0"/>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b/>
                <w:bCs/>
                <w:color w:val="000000"/>
                <w:kern w:val="0"/>
                <w:sz w:val="24"/>
                <w:szCs w:val="24"/>
                <w:highlight w:val="none"/>
              </w:rPr>
            </w:pPr>
            <w:r>
              <w:rPr>
                <w:rFonts w:hint="eastAsia" w:ascii="仿宋_GB2312" w:hAnsi="宋体" w:eastAsia="仿宋_GB2312" w:cs="Times New Roman"/>
                <w:b/>
                <w:bCs/>
                <w:color w:val="000000"/>
                <w:kern w:val="0"/>
                <w:sz w:val="24"/>
                <w:szCs w:val="24"/>
                <w:highlight w:val="none"/>
              </w:rPr>
              <w:t>预期性</w:t>
            </w:r>
            <w:r>
              <w:rPr>
                <w:rFonts w:hint="eastAsia" w:ascii="仿宋_GB2312" w:hAnsi="Times New Roman" w:eastAsia="仿宋_GB2312" w:cs="Times New Roman"/>
                <w:b/>
                <w:bCs/>
                <w:color w:val="000000"/>
                <w:kern w:val="0"/>
                <w:sz w:val="24"/>
                <w:szCs w:val="24"/>
                <w:highlight w:val="none"/>
              </w:rPr>
              <w:t>/</w:t>
            </w:r>
            <w:r>
              <w:rPr>
                <w:rFonts w:hint="eastAsia" w:ascii="仿宋_GB2312" w:hAnsi="宋体" w:eastAsia="仿宋_GB2312" w:cs="Times New Roman"/>
                <w:b/>
                <w:bCs/>
                <w:color w:val="000000"/>
                <w:kern w:val="0"/>
                <w:sz w:val="24"/>
                <w:szCs w:val="24"/>
                <w:highlight w:val="none"/>
              </w:rPr>
              <w:t>约束性</w:t>
            </w:r>
          </w:p>
        </w:tc>
      </w:tr>
      <w:tr>
        <w:tblPrEx>
          <w:tblCellMar>
            <w:top w:w="0" w:type="dxa"/>
            <w:left w:w="108" w:type="dxa"/>
            <w:bottom w:w="0" w:type="dxa"/>
            <w:right w:w="108" w:type="dxa"/>
          </w:tblCellMar>
        </w:tblPrEx>
        <w:trPr>
          <w:trHeight w:val="480" w:hRule="atLeast"/>
          <w:jc w:val="center"/>
        </w:trPr>
        <w:tc>
          <w:tcPr>
            <w:tcW w:w="998" w:type="dxa"/>
            <w:vMerge w:val="restart"/>
            <w:tcBorders>
              <w:left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教育</w:t>
            </w:r>
          </w:p>
        </w:tc>
        <w:tc>
          <w:tcPr>
            <w:tcW w:w="709"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ascii="仿宋_GB2312" w:hAnsi="Times New Roman" w:eastAsia="仿宋_GB2312" w:cs="Times New Roman"/>
                <w:color w:val="000000"/>
                <w:kern w:val="0"/>
                <w:sz w:val="24"/>
                <w:szCs w:val="24"/>
                <w:highlight w:val="none"/>
              </w:rPr>
              <w:t>1</w:t>
            </w:r>
          </w:p>
        </w:tc>
        <w:tc>
          <w:tcPr>
            <w:tcW w:w="5239"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宋体"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rPr>
              <w:t>教育支出占一般公共预算支出比例（</w:t>
            </w:r>
            <w:r>
              <w:rPr>
                <w:rFonts w:ascii="仿宋_GB2312" w:hAnsi="宋体" w:eastAsia="仿宋_GB2312" w:cs="Times New Roman"/>
                <w:color w:val="000000"/>
                <w:kern w:val="0"/>
                <w:sz w:val="24"/>
                <w:szCs w:val="24"/>
                <w:highlight w:val="none"/>
              </w:rPr>
              <w:t>%）</w:t>
            </w:r>
          </w:p>
        </w:tc>
        <w:tc>
          <w:tcPr>
            <w:tcW w:w="2127"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宋体"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rPr>
              <w:t>与一般公共预算同步增长</w:t>
            </w:r>
          </w:p>
        </w:tc>
        <w:tc>
          <w:tcPr>
            <w:tcW w:w="1275"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预期性</w:t>
            </w:r>
          </w:p>
        </w:tc>
      </w:tr>
      <w:tr>
        <w:tblPrEx>
          <w:tblCellMar>
            <w:top w:w="0" w:type="dxa"/>
            <w:left w:w="108" w:type="dxa"/>
            <w:bottom w:w="0" w:type="dxa"/>
            <w:right w:w="108" w:type="dxa"/>
          </w:tblCellMar>
        </w:tblPrEx>
        <w:trPr>
          <w:trHeight w:val="480" w:hRule="atLeast"/>
          <w:jc w:val="center"/>
        </w:trPr>
        <w:tc>
          <w:tcPr>
            <w:tcW w:w="998" w:type="dxa"/>
            <w:vMerge w:val="continue"/>
            <w:tcBorders>
              <w:left w:val="single" w:color="auto" w:sz="4" w:space="0"/>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p>
        </w:tc>
        <w:tc>
          <w:tcPr>
            <w:tcW w:w="709"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ascii="仿宋_GB2312" w:hAnsi="Times New Roman" w:eastAsia="仿宋_GB2312" w:cs="Times New Roman"/>
                <w:color w:val="000000"/>
                <w:kern w:val="0"/>
                <w:sz w:val="24"/>
                <w:szCs w:val="24"/>
                <w:highlight w:val="none"/>
              </w:rPr>
              <w:t>2</w:t>
            </w:r>
          </w:p>
        </w:tc>
        <w:tc>
          <w:tcPr>
            <w:tcW w:w="5239"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rPr>
              <w:t>普惠性幼儿园覆盖率</w:t>
            </w:r>
          </w:p>
        </w:tc>
        <w:tc>
          <w:tcPr>
            <w:tcW w:w="2127"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rPr>
              <w:t>≥8</w:t>
            </w:r>
            <w:r>
              <w:rPr>
                <w:rFonts w:ascii="仿宋_GB2312" w:hAnsi="宋体" w:eastAsia="仿宋_GB2312" w:cs="Times New Roman"/>
                <w:color w:val="000000"/>
                <w:kern w:val="0"/>
                <w:sz w:val="24"/>
                <w:szCs w:val="24"/>
                <w:highlight w:val="none"/>
              </w:rPr>
              <w:t>0</w:t>
            </w:r>
          </w:p>
        </w:tc>
        <w:tc>
          <w:tcPr>
            <w:tcW w:w="1275"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预期性</w:t>
            </w:r>
          </w:p>
        </w:tc>
      </w:tr>
      <w:tr>
        <w:tblPrEx>
          <w:tblCellMar>
            <w:top w:w="0" w:type="dxa"/>
            <w:left w:w="108" w:type="dxa"/>
            <w:bottom w:w="0" w:type="dxa"/>
            <w:right w:w="108" w:type="dxa"/>
          </w:tblCellMar>
        </w:tblPrEx>
        <w:trPr>
          <w:trHeight w:val="480" w:hRule="atLeast"/>
          <w:jc w:val="center"/>
        </w:trPr>
        <w:tc>
          <w:tcPr>
            <w:tcW w:w="998" w:type="dxa"/>
            <w:vMerge w:val="restart"/>
            <w:tcBorders>
              <w:top w:val="nil"/>
              <w:left w:val="single" w:color="auto" w:sz="4" w:space="0"/>
              <w:right w:val="single" w:color="auto" w:sz="4" w:space="0"/>
            </w:tcBorders>
            <w:noWrap w:val="0"/>
            <w:vAlign w:val="center"/>
          </w:tcPr>
          <w:p>
            <w:pPr>
              <w:widowControl/>
              <w:jc w:val="center"/>
              <w:textAlignment w:val="baseline"/>
              <w:rPr>
                <w:rFonts w:hint="eastAsia"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医疗</w:t>
            </w:r>
          </w:p>
          <w:p>
            <w:pPr>
              <w:widowControl/>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卫生</w:t>
            </w:r>
          </w:p>
        </w:tc>
        <w:tc>
          <w:tcPr>
            <w:tcW w:w="709"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ascii="仿宋_GB2312" w:hAnsi="Times New Roman" w:eastAsia="仿宋_GB2312" w:cs="Times New Roman"/>
                <w:color w:val="000000"/>
                <w:kern w:val="0"/>
                <w:sz w:val="24"/>
                <w:szCs w:val="24"/>
                <w:highlight w:val="none"/>
              </w:rPr>
              <w:t>3</w:t>
            </w:r>
          </w:p>
        </w:tc>
        <w:tc>
          <w:tcPr>
            <w:tcW w:w="5239"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kern w:val="0"/>
                <w:sz w:val="24"/>
                <w:szCs w:val="24"/>
                <w:highlight w:val="none"/>
              </w:rPr>
            </w:pPr>
            <w:r>
              <w:rPr>
                <w:rFonts w:hint="eastAsia" w:ascii="仿宋_GB2312" w:hAnsi="宋体" w:eastAsia="仿宋_GB2312" w:cs="Times New Roman"/>
                <w:kern w:val="0"/>
                <w:sz w:val="24"/>
                <w:szCs w:val="24"/>
                <w:highlight w:val="none"/>
              </w:rPr>
              <w:t>每千常住人口执业（助理）医师数（人）</w:t>
            </w:r>
          </w:p>
        </w:tc>
        <w:tc>
          <w:tcPr>
            <w:tcW w:w="2127" w:type="dxa"/>
            <w:tcBorders>
              <w:top w:val="nil"/>
              <w:left w:val="nil"/>
              <w:bottom w:val="single" w:color="auto" w:sz="4" w:space="0"/>
              <w:right w:val="single" w:color="auto" w:sz="4" w:space="0"/>
            </w:tcBorders>
            <w:noWrap w:val="0"/>
            <w:vAlign w:val="center"/>
          </w:tcPr>
          <w:p>
            <w:pPr>
              <w:widowControl/>
              <w:jc w:val="center"/>
              <w:textAlignment w:val="baseline"/>
              <w:rPr>
                <w:rFonts w:hint="default" w:ascii="仿宋_GB2312" w:hAnsi="Times New Roman" w:eastAsia="仿宋_GB2312" w:cs="Times New Roman"/>
                <w:kern w:val="0"/>
                <w:sz w:val="24"/>
                <w:szCs w:val="24"/>
                <w:highlight w:val="none"/>
                <w:lang w:val="en-US" w:eastAsia="zh-CN"/>
              </w:rPr>
            </w:pPr>
            <w:r>
              <w:rPr>
                <w:rFonts w:hint="eastAsia" w:ascii="仿宋_GB2312" w:hAnsi="宋体" w:eastAsia="仿宋_GB2312" w:cs="Times New Roman"/>
                <w:kern w:val="0"/>
                <w:sz w:val="24"/>
                <w:szCs w:val="24"/>
                <w:highlight w:val="none"/>
                <w:lang w:val="en-US" w:eastAsia="zh-CN"/>
              </w:rPr>
              <w:t>12.96</w:t>
            </w:r>
          </w:p>
        </w:tc>
        <w:tc>
          <w:tcPr>
            <w:tcW w:w="1275"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kern w:val="0"/>
                <w:sz w:val="24"/>
                <w:szCs w:val="24"/>
                <w:highlight w:val="none"/>
              </w:rPr>
            </w:pPr>
            <w:r>
              <w:rPr>
                <w:rFonts w:hint="eastAsia" w:ascii="仿宋_GB2312" w:hAnsi="宋体" w:eastAsia="仿宋_GB2312" w:cs="Times New Roman"/>
                <w:kern w:val="0"/>
                <w:sz w:val="24"/>
                <w:szCs w:val="24"/>
                <w:highlight w:val="none"/>
              </w:rPr>
              <w:t>预期性</w:t>
            </w:r>
          </w:p>
        </w:tc>
      </w:tr>
      <w:tr>
        <w:tblPrEx>
          <w:tblCellMar>
            <w:top w:w="0" w:type="dxa"/>
            <w:left w:w="108" w:type="dxa"/>
            <w:bottom w:w="0" w:type="dxa"/>
            <w:right w:w="108" w:type="dxa"/>
          </w:tblCellMar>
        </w:tblPrEx>
        <w:trPr>
          <w:trHeight w:val="480" w:hRule="atLeast"/>
          <w:jc w:val="center"/>
        </w:trPr>
        <w:tc>
          <w:tcPr>
            <w:tcW w:w="998" w:type="dxa"/>
            <w:vMerge w:val="continue"/>
            <w:tcBorders>
              <w:left w:val="single" w:color="auto" w:sz="4" w:space="0"/>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p>
        </w:tc>
        <w:tc>
          <w:tcPr>
            <w:tcW w:w="709"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等线" w:cs="Times New Roman"/>
                <w:color w:val="000000"/>
                <w:kern w:val="0"/>
                <w:sz w:val="24"/>
                <w:szCs w:val="24"/>
                <w:highlight w:val="none"/>
              </w:rPr>
            </w:pPr>
            <w:r>
              <w:rPr>
                <w:rFonts w:ascii="仿宋_GB2312" w:hAnsi="Times New Roman" w:eastAsia="仿宋_GB2312" w:cs="Times New Roman"/>
                <w:color w:val="000000"/>
                <w:kern w:val="0"/>
                <w:sz w:val="24"/>
                <w:szCs w:val="24"/>
                <w:highlight w:val="none"/>
              </w:rPr>
              <w:t>4</w:t>
            </w:r>
          </w:p>
        </w:tc>
        <w:tc>
          <w:tcPr>
            <w:tcW w:w="5239"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每万名常住人口疾控力量配比（人）</w:t>
            </w:r>
          </w:p>
        </w:tc>
        <w:tc>
          <w:tcPr>
            <w:tcW w:w="2127" w:type="dxa"/>
            <w:tcBorders>
              <w:top w:val="nil"/>
              <w:left w:val="nil"/>
              <w:bottom w:val="single" w:color="auto" w:sz="4" w:space="0"/>
              <w:right w:val="single" w:color="auto" w:sz="4" w:space="0"/>
            </w:tcBorders>
            <w:noWrap w:val="0"/>
            <w:vAlign w:val="center"/>
          </w:tcPr>
          <w:p>
            <w:pPr>
              <w:widowControl/>
              <w:jc w:val="center"/>
              <w:textAlignment w:val="baseline"/>
              <w:rPr>
                <w:rFonts w:hint="default" w:ascii="仿宋_GB2312" w:hAnsi="Times New Roman" w:eastAsia="仿宋_GB2312" w:cs="Times New Roman"/>
                <w:kern w:val="0"/>
                <w:sz w:val="24"/>
                <w:szCs w:val="24"/>
                <w:highlight w:val="none"/>
                <w:lang w:val="en-US" w:eastAsia="zh-CN"/>
              </w:rPr>
            </w:pPr>
            <w:r>
              <w:rPr>
                <w:rFonts w:hint="eastAsia" w:ascii="仿宋_GB2312" w:hAnsi="Times New Roman" w:eastAsia="仿宋_GB2312" w:cs="Times New Roman"/>
                <w:kern w:val="0"/>
                <w:sz w:val="24"/>
                <w:szCs w:val="24"/>
                <w:highlight w:val="none"/>
                <w:lang w:val="en-US" w:eastAsia="zh-CN"/>
              </w:rPr>
              <w:t>3.16</w:t>
            </w:r>
          </w:p>
        </w:tc>
        <w:tc>
          <w:tcPr>
            <w:tcW w:w="1275"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约束性</w:t>
            </w:r>
          </w:p>
        </w:tc>
      </w:tr>
      <w:tr>
        <w:tblPrEx>
          <w:tblCellMar>
            <w:top w:w="0" w:type="dxa"/>
            <w:left w:w="108" w:type="dxa"/>
            <w:bottom w:w="0" w:type="dxa"/>
            <w:right w:w="108" w:type="dxa"/>
          </w:tblCellMar>
        </w:tblPrEx>
        <w:trPr>
          <w:trHeight w:val="480" w:hRule="atLeast"/>
          <w:jc w:val="center"/>
        </w:trPr>
        <w:tc>
          <w:tcPr>
            <w:tcW w:w="998" w:type="dxa"/>
            <w:vMerge w:val="restart"/>
            <w:tcBorders>
              <w:top w:val="nil"/>
              <w:left w:val="single" w:color="auto" w:sz="4" w:space="0"/>
              <w:right w:val="single" w:color="auto" w:sz="4" w:space="0"/>
            </w:tcBorders>
            <w:noWrap w:val="0"/>
            <w:vAlign w:val="center"/>
          </w:tcPr>
          <w:p>
            <w:pPr>
              <w:jc w:val="center"/>
              <w:textAlignment w:val="baseline"/>
              <w:rPr>
                <w:rFonts w:hint="eastAsia" w:ascii="仿宋_GB2312" w:hAnsi="宋体"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rPr>
              <w:t>文化</w:t>
            </w:r>
          </w:p>
          <w:p>
            <w:pPr>
              <w:jc w:val="center"/>
              <w:textAlignment w:val="baseline"/>
              <w:rPr>
                <w:rFonts w:ascii="仿宋_GB2312" w:hAnsi="宋体"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rPr>
              <w:t>体育</w:t>
            </w:r>
          </w:p>
        </w:tc>
        <w:tc>
          <w:tcPr>
            <w:tcW w:w="709"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ascii="仿宋_GB2312" w:hAnsi="Times New Roman" w:eastAsia="仿宋_GB2312" w:cs="Times New Roman"/>
                <w:color w:val="000000"/>
                <w:kern w:val="0"/>
                <w:sz w:val="24"/>
                <w:szCs w:val="24"/>
                <w:highlight w:val="none"/>
              </w:rPr>
              <w:t>5</w:t>
            </w:r>
          </w:p>
        </w:tc>
        <w:tc>
          <w:tcPr>
            <w:tcW w:w="5239"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人均公共文化服务设施建筑面积（平方米）</w:t>
            </w:r>
          </w:p>
        </w:tc>
        <w:tc>
          <w:tcPr>
            <w:tcW w:w="2127" w:type="dxa"/>
            <w:tcBorders>
              <w:top w:val="nil"/>
              <w:left w:val="nil"/>
              <w:bottom w:val="single" w:color="auto" w:sz="4" w:space="0"/>
              <w:right w:val="single" w:color="auto" w:sz="4" w:space="0"/>
            </w:tcBorders>
            <w:noWrap w:val="0"/>
            <w:vAlign w:val="center"/>
          </w:tcPr>
          <w:p>
            <w:pPr>
              <w:widowControl/>
              <w:jc w:val="center"/>
              <w:textAlignment w:val="baseline"/>
              <w:rPr>
                <w:rFonts w:hint="default" w:ascii="仿宋_GB2312" w:hAnsi="宋体" w:eastAsia="仿宋_GB2312" w:cs="Times New Roman"/>
                <w:kern w:val="0"/>
                <w:sz w:val="24"/>
                <w:szCs w:val="24"/>
                <w:highlight w:val="none"/>
                <w:lang w:val="en-US" w:eastAsia="zh-CN"/>
              </w:rPr>
            </w:pPr>
            <w:r>
              <w:rPr>
                <w:rFonts w:hint="eastAsia" w:ascii="仿宋_GB2312" w:hAnsi="Times New Roman" w:eastAsia="仿宋_GB2312" w:cs="Times New Roman"/>
                <w:kern w:val="0"/>
                <w:sz w:val="24"/>
                <w:szCs w:val="24"/>
                <w:highlight w:val="none"/>
              </w:rPr>
              <w:t>≥</w:t>
            </w:r>
            <w:r>
              <w:rPr>
                <w:rFonts w:ascii="仿宋_GB2312" w:hAnsi="宋体" w:eastAsia="仿宋_GB2312" w:cs="Times New Roman"/>
                <w:kern w:val="0"/>
                <w:sz w:val="24"/>
                <w:szCs w:val="24"/>
                <w:highlight w:val="none"/>
              </w:rPr>
              <w:t>1</w:t>
            </w:r>
            <w:r>
              <w:rPr>
                <w:rFonts w:hint="eastAsia" w:ascii="仿宋_GB2312" w:hAnsi="宋体" w:eastAsia="仿宋_GB2312" w:cs="Times New Roman"/>
                <w:kern w:val="0"/>
                <w:sz w:val="24"/>
                <w:szCs w:val="24"/>
                <w:highlight w:val="none"/>
                <w:lang w:val="en-US" w:eastAsia="zh-CN"/>
              </w:rPr>
              <w:t>.1</w:t>
            </w:r>
          </w:p>
        </w:tc>
        <w:tc>
          <w:tcPr>
            <w:tcW w:w="1275"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约束性</w:t>
            </w:r>
          </w:p>
        </w:tc>
      </w:tr>
      <w:tr>
        <w:tblPrEx>
          <w:tblCellMar>
            <w:top w:w="0" w:type="dxa"/>
            <w:left w:w="108" w:type="dxa"/>
            <w:bottom w:w="0" w:type="dxa"/>
            <w:right w:w="108" w:type="dxa"/>
          </w:tblCellMar>
        </w:tblPrEx>
        <w:trPr>
          <w:trHeight w:val="480" w:hRule="atLeast"/>
          <w:jc w:val="center"/>
        </w:trPr>
        <w:tc>
          <w:tcPr>
            <w:tcW w:w="998"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ascii="仿宋_GB2312" w:hAnsi="Times New Roman" w:eastAsia="仿宋_GB2312" w:cs="Times New Roman"/>
                <w:color w:val="000000"/>
                <w:kern w:val="0"/>
                <w:sz w:val="24"/>
                <w:szCs w:val="24"/>
                <w:highlight w:val="none"/>
              </w:rPr>
              <w:t>6</w:t>
            </w:r>
          </w:p>
        </w:tc>
        <w:tc>
          <w:tcPr>
            <w:tcW w:w="5239" w:type="dxa"/>
            <w:tcBorders>
              <w:top w:val="nil"/>
              <w:left w:val="nil"/>
              <w:bottom w:val="single" w:color="auto" w:sz="4" w:space="0"/>
              <w:right w:val="single" w:color="auto" w:sz="4" w:space="0"/>
            </w:tcBorders>
            <w:shd w:val="clear" w:color="auto" w:fill="auto"/>
            <w:noWrap w:val="0"/>
            <w:vAlign w:val="center"/>
          </w:tcPr>
          <w:p>
            <w:pPr>
              <w:widowControl/>
              <w:jc w:val="center"/>
              <w:textAlignment w:val="baseline"/>
              <w:rPr>
                <w:rFonts w:ascii="仿宋_GB2312" w:hAnsi="Times New Roman" w:eastAsia="仿宋_GB2312" w:cs="Times New Roman"/>
                <w:kern w:val="0"/>
                <w:sz w:val="24"/>
                <w:szCs w:val="24"/>
                <w:highlight w:val="none"/>
              </w:rPr>
            </w:pPr>
            <w:r>
              <w:rPr>
                <w:rFonts w:hint="eastAsia" w:ascii="仿宋_GB2312" w:hAnsi="宋体" w:eastAsia="仿宋_GB2312" w:cs="Times New Roman"/>
                <w:kern w:val="0"/>
                <w:sz w:val="24"/>
                <w:szCs w:val="24"/>
                <w:highlight w:val="none"/>
              </w:rPr>
              <w:t>人均体育场用地（平方米）</w:t>
            </w:r>
          </w:p>
        </w:tc>
        <w:tc>
          <w:tcPr>
            <w:tcW w:w="2127" w:type="dxa"/>
            <w:tcBorders>
              <w:top w:val="nil"/>
              <w:left w:val="nil"/>
              <w:bottom w:val="single" w:color="auto" w:sz="4" w:space="0"/>
              <w:right w:val="single" w:color="auto" w:sz="4" w:space="0"/>
            </w:tcBorders>
            <w:shd w:val="clear" w:color="000000" w:fill="FFFFFF"/>
            <w:noWrap w:val="0"/>
            <w:vAlign w:val="center"/>
          </w:tcPr>
          <w:p>
            <w:pPr>
              <w:widowControl/>
              <w:jc w:val="center"/>
              <w:textAlignment w:val="baseline"/>
              <w:rPr>
                <w:rFonts w:ascii="仿宋_GB2312" w:hAnsi="Times New Roman" w:eastAsia="仿宋_GB2312" w:cs="Times New Roman"/>
                <w:kern w:val="0"/>
                <w:sz w:val="24"/>
                <w:szCs w:val="24"/>
                <w:highlight w:val="none"/>
              </w:rPr>
            </w:pPr>
            <w:r>
              <w:rPr>
                <w:rFonts w:hint="eastAsia" w:ascii="仿宋_GB2312" w:hAnsi="宋体" w:eastAsia="仿宋_GB2312" w:cs="Times New Roman"/>
                <w:kern w:val="0"/>
                <w:sz w:val="24"/>
                <w:szCs w:val="24"/>
                <w:highlight w:val="none"/>
              </w:rPr>
              <w:t>≥</w:t>
            </w:r>
            <w:r>
              <w:rPr>
                <w:rFonts w:hint="eastAsia" w:ascii="仿宋_GB2312" w:hAnsi="Times New Roman" w:eastAsia="仿宋_GB2312" w:cs="Times New Roman"/>
                <w:kern w:val="0"/>
                <w:sz w:val="24"/>
                <w:szCs w:val="24"/>
                <w:highlight w:val="none"/>
              </w:rPr>
              <w:t>0.</w:t>
            </w:r>
            <w:r>
              <w:rPr>
                <w:rFonts w:ascii="仿宋_GB2312" w:hAnsi="Times New Roman" w:eastAsia="仿宋_GB2312" w:cs="Times New Roman"/>
                <w:kern w:val="0"/>
                <w:sz w:val="24"/>
                <w:szCs w:val="24"/>
                <w:highlight w:val="none"/>
              </w:rPr>
              <w:t>75</w:t>
            </w:r>
          </w:p>
        </w:tc>
        <w:tc>
          <w:tcPr>
            <w:tcW w:w="127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baseline"/>
              <w:rPr>
                <w:rFonts w:ascii="仿宋_GB2312" w:hAnsi="Times New Roman" w:eastAsia="仿宋_GB2312" w:cs="Times New Roman"/>
                <w:kern w:val="0"/>
                <w:sz w:val="24"/>
                <w:szCs w:val="24"/>
                <w:highlight w:val="none"/>
              </w:rPr>
            </w:pPr>
            <w:r>
              <w:rPr>
                <w:rFonts w:hint="eastAsia" w:ascii="仿宋_GB2312" w:hAnsi="宋体" w:eastAsia="仿宋_GB2312" w:cs="Times New Roman"/>
                <w:kern w:val="0"/>
                <w:sz w:val="24"/>
                <w:szCs w:val="24"/>
                <w:highlight w:val="none"/>
              </w:rPr>
              <w:t>约束性</w:t>
            </w:r>
          </w:p>
        </w:tc>
      </w:tr>
      <w:tr>
        <w:tblPrEx>
          <w:tblCellMar>
            <w:top w:w="0" w:type="dxa"/>
            <w:left w:w="108" w:type="dxa"/>
            <w:bottom w:w="0" w:type="dxa"/>
            <w:right w:w="108" w:type="dxa"/>
          </w:tblCellMar>
        </w:tblPrEx>
        <w:trPr>
          <w:trHeight w:val="480" w:hRule="atLeast"/>
          <w:jc w:val="center"/>
        </w:trPr>
        <w:tc>
          <w:tcPr>
            <w:tcW w:w="998" w:type="dxa"/>
            <w:tcBorders>
              <w:left w:val="single" w:color="auto" w:sz="4" w:space="0"/>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就业</w:t>
            </w:r>
          </w:p>
        </w:tc>
        <w:tc>
          <w:tcPr>
            <w:tcW w:w="709"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ascii="仿宋_GB2312" w:hAnsi="Times New Roman" w:eastAsia="仿宋_GB2312" w:cs="Times New Roman"/>
                <w:color w:val="000000"/>
                <w:kern w:val="0"/>
                <w:sz w:val="24"/>
                <w:szCs w:val="24"/>
                <w:highlight w:val="none"/>
              </w:rPr>
              <w:t>7</w:t>
            </w:r>
          </w:p>
        </w:tc>
        <w:tc>
          <w:tcPr>
            <w:tcW w:w="5239"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lang w:eastAsia="zh-CN"/>
              </w:rPr>
              <w:t>登记</w:t>
            </w:r>
            <w:r>
              <w:rPr>
                <w:rFonts w:hint="eastAsia" w:ascii="仿宋_GB2312" w:hAnsi="宋体" w:eastAsia="仿宋_GB2312" w:cs="Times New Roman"/>
                <w:kern w:val="0"/>
                <w:sz w:val="24"/>
                <w:szCs w:val="24"/>
                <w:highlight w:val="none"/>
              </w:rPr>
              <w:t>失业率（</w:t>
            </w:r>
            <w:r>
              <w:rPr>
                <w:rFonts w:hint="eastAsia" w:ascii="仿宋_GB2312" w:hAnsi="Times New Roman" w:eastAsia="仿宋_GB2312" w:cs="Times New Roman"/>
                <w:kern w:val="0"/>
                <w:sz w:val="24"/>
                <w:szCs w:val="24"/>
                <w:highlight w:val="none"/>
              </w:rPr>
              <w:t>%</w:t>
            </w:r>
            <w:r>
              <w:rPr>
                <w:rFonts w:hint="eastAsia" w:ascii="仿宋_GB2312" w:hAnsi="宋体" w:eastAsia="仿宋_GB2312" w:cs="Times New Roman"/>
                <w:kern w:val="0"/>
                <w:sz w:val="24"/>
                <w:szCs w:val="24"/>
                <w:highlight w:val="none"/>
              </w:rPr>
              <w:t>）</w:t>
            </w:r>
          </w:p>
        </w:tc>
        <w:tc>
          <w:tcPr>
            <w:tcW w:w="2127" w:type="dxa"/>
            <w:tcBorders>
              <w:top w:val="nil"/>
              <w:left w:val="nil"/>
              <w:bottom w:val="single" w:color="auto" w:sz="4" w:space="0"/>
              <w:right w:val="single" w:color="auto" w:sz="4" w:space="0"/>
            </w:tcBorders>
            <w:noWrap w:val="0"/>
            <w:vAlign w:val="center"/>
          </w:tcPr>
          <w:p>
            <w:pPr>
              <w:widowControl/>
              <w:jc w:val="center"/>
              <w:textAlignment w:val="baseline"/>
              <w:rPr>
                <w:rFonts w:hint="default" w:ascii="仿宋_GB2312" w:hAnsi="宋体" w:eastAsia="仿宋_GB2312" w:cs="Times New Roman"/>
                <w:kern w:val="0"/>
                <w:sz w:val="24"/>
                <w:szCs w:val="24"/>
                <w:highlight w:val="none"/>
                <w:lang w:val="en-US" w:eastAsia="zh-CN"/>
              </w:rPr>
            </w:pPr>
            <w:r>
              <w:rPr>
                <w:rFonts w:hint="eastAsia" w:ascii="仿宋_GB2312" w:hAnsi="Times New Roman" w:eastAsia="仿宋_GB2312" w:cs="Times New Roman"/>
                <w:kern w:val="0"/>
                <w:sz w:val="24"/>
                <w:szCs w:val="24"/>
                <w:highlight w:val="none"/>
              </w:rPr>
              <w:t>＜</w:t>
            </w:r>
            <w:r>
              <w:rPr>
                <w:rFonts w:hint="eastAsia" w:ascii="仿宋_GB2312" w:hAnsi="Times New Roman" w:eastAsia="仿宋_GB2312" w:cs="Times New Roman"/>
                <w:kern w:val="0"/>
                <w:sz w:val="24"/>
                <w:szCs w:val="24"/>
                <w:highlight w:val="none"/>
                <w:lang w:val="en-US" w:eastAsia="zh-CN"/>
              </w:rPr>
              <w:t>3.5</w:t>
            </w:r>
          </w:p>
        </w:tc>
        <w:tc>
          <w:tcPr>
            <w:tcW w:w="1275"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宋体" w:eastAsia="仿宋_GB2312" w:cs="Times New Roman"/>
                <w:kern w:val="0"/>
                <w:sz w:val="24"/>
                <w:szCs w:val="24"/>
                <w:highlight w:val="none"/>
              </w:rPr>
            </w:pPr>
            <w:r>
              <w:rPr>
                <w:rFonts w:hint="eastAsia" w:ascii="仿宋_GB2312" w:hAnsi="宋体" w:eastAsia="仿宋_GB2312" w:cs="Times New Roman"/>
                <w:kern w:val="0"/>
                <w:sz w:val="24"/>
                <w:szCs w:val="24"/>
                <w:highlight w:val="none"/>
              </w:rPr>
              <w:t>预期性</w:t>
            </w:r>
          </w:p>
        </w:tc>
      </w:tr>
      <w:tr>
        <w:tblPrEx>
          <w:tblCellMar>
            <w:top w:w="0" w:type="dxa"/>
            <w:left w:w="108" w:type="dxa"/>
            <w:bottom w:w="0" w:type="dxa"/>
            <w:right w:w="108" w:type="dxa"/>
          </w:tblCellMar>
        </w:tblPrEx>
        <w:trPr>
          <w:trHeight w:val="480" w:hRule="atLeast"/>
          <w:jc w:val="center"/>
        </w:trPr>
        <w:tc>
          <w:tcPr>
            <w:tcW w:w="998"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养老与社会保障</w:t>
            </w:r>
          </w:p>
        </w:tc>
        <w:tc>
          <w:tcPr>
            <w:tcW w:w="709"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ascii="仿宋_GB2312" w:hAnsi="Times New Roman" w:eastAsia="仿宋_GB2312" w:cs="Times New Roman"/>
                <w:color w:val="000000"/>
                <w:kern w:val="0"/>
                <w:sz w:val="24"/>
                <w:szCs w:val="24"/>
                <w:highlight w:val="none"/>
              </w:rPr>
              <w:t>8</w:t>
            </w:r>
          </w:p>
        </w:tc>
        <w:tc>
          <w:tcPr>
            <w:tcW w:w="5239"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rPr>
              <w:t>千人常住人口养老床位数（张）</w:t>
            </w:r>
          </w:p>
        </w:tc>
        <w:tc>
          <w:tcPr>
            <w:tcW w:w="2127"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w:t>
            </w:r>
            <w:r>
              <w:rPr>
                <w:rFonts w:ascii="仿宋_GB2312" w:hAnsi="Times New Roman" w:eastAsia="仿宋_GB2312" w:cs="Times New Roman"/>
                <w:color w:val="000000"/>
                <w:kern w:val="0"/>
                <w:sz w:val="24"/>
                <w:szCs w:val="24"/>
                <w:highlight w:val="none"/>
              </w:rPr>
              <w:t>7</w:t>
            </w:r>
          </w:p>
        </w:tc>
        <w:tc>
          <w:tcPr>
            <w:tcW w:w="1275"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rPr>
              <w:t>预期性</w:t>
            </w:r>
          </w:p>
        </w:tc>
      </w:tr>
      <w:tr>
        <w:tblPrEx>
          <w:tblCellMar>
            <w:top w:w="0" w:type="dxa"/>
            <w:left w:w="108" w:type="dxa"/>
            <w:bottom w:w="0" w:type="dxa"/>
            <w:right w:w="108" w:type="dxa"/>
          </w:tblCellMar>
        </w:tblPrEx>
        <w:trPr>
          <w:trHeight w:val="600" w:hRule="atLeast"/>
          <w:jc w:val="center"/>
        </w:trPr>
        <w:tc>
          <w:tcPr>
            <w:tcW w:w="998" w:type="dxa"/>
            <w:vMerge w:val="continue"/>
            <w:tcBorders>
              <w:top w:val="nil"/>
              <w:left w:val="single" w:color="auto" w:sz="4" w:space="0"/>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p>
        </w:tc>
        <w:tc>
          <w:tcPr>
            <w:tcW w:w="709"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9</w:t>
            </w:r>
          </w:p>
        </w:tc>
        <w:tc>
          <w:tcPr>
            <w:tcW w:w="5239" w:type="dxa"/>
            <w:tcBorders>
              <w:top w:val="nil"/>
              <w:left w:val="nil"/>
              <w:bottom w:val="single" w:color="auto" w:sz="4" w:space="0"/>
              <w:right w:val="single" w:color="auto" w:sz="4" w:space="0"/>
            </w:tcBorders>
            <w:noWrap w:val="0"/>
            <w:vAlign w:val="center"/>
          </w:tcPr>
          <w:p>
            <w:pPr>
              <w:widowControl/>
              <w:snapToGrid w:val="0"/>
              <w:jc w:val="center"/>
              <w:textAlignment w:val="baseline"/>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lang w:eastAsia="zh-CN"/>
              </w:rPr>
              <w:t>残疾人基本康复服务</w:t>
            </w:r>
            <w:r>
              <w:rPr>
                <w:rFonts w:hint="eastAsia" w:ascii="仿宋_GB2312" w:hAnsi="宋体" w:eastAsia="仿宋_GB2312" w:cs="宋体"/>
                <w:color w:val="000000"/>
                <w:kern w:val="0"/>
                <w:sz w:val="24"/>
                <w:szCs w:val="24"/>
                <w:highlight w:val="none"/>
              </w:rPr>
              <w:t>覆盖率（%）</w:t>
            </w:r>
          </w:p>
        </w:tc>
        <w:tc>
          <w:tcPr>
            <w:tcW w:w="2127"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lang w:val="en-US" w:eastAsia="zh-CN"/>
              </w:rPr>
              <w:t>90</w:t>
            </w:r>
          </w:p>
        </w:tc>
        <w:tc>
          <w:tcPr>
            <w:tcW w:w="1275"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lang w:eastAsia="zh-CN"/>
              </w:rPr>
              <w:t>约束</w:t>
            </w:r>
            <w:r>
              <w:rPr>
                <w:rFonts w:hint="eastAsia" w:ascii="仿宋_GB2312" w:hAnsi="宋体" w:eastAsia="仿宋_GB2312" w:cs="Times New Roman"/>
                <w:color w:val="000000"/>
                <w:kern w:val="0"/>
                <w:sz w:val="24"/>
                <w:szCs w:val="24"/>
                <w:highlight w:val="none"/>
              </w:rPr>
              <w:t>性</w:t>
            </w:r>
          </w:p>
        </w:tc>
      </w:tr>
      <w:tr>
        <w:tblPrEx>
          <w:tblCellMar>
            <w:top w:w="0" w:type="dxa"/>
            <w:left w:w="108" w:type="dxa"/>
            <w:bottom w:w="0" w:type="dxa"/>
            <w:right w:w="108" w:type="dxa"/>
          </w:tblCellMar>
        </w:tblPrEx>
        <w:trPr>
          <w:trHeight w:val="480" w:hRule="atLeast"/>
          <w:jc w:val="center"/>
        </w:trPr>
        <w:tc>
          <w:tcPr>
            <w:tcW w:w="998" w:type="dxa"/>
            <w:vMerge w:val="restart"/>
            <w:tcBorders>
              <w:top w:val="single" w:color="auto" w:sz="4" w:space="0"/>
              <w:left w:val="single" w:color="auto" w:sz="4" w:space="0"/>
              <w:right w:val="single" w:color="auto" w:sz="4" w:space="0"/>
            </w:tcBorders>
            <w:noWrap w:val="0"/>
            <w:vAlign w:val="center"/>
          </w:tcPr>
          <w:p>
            <w:pPr>
              <w:jc w:val="center"/>
              <w:textAlignment w:val="baseline"/>
              <w:rPr>
                <w:rFonts w:ascii="仿宋_GB2312" w:hAnsi="宋体"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rPr>
              <w:t>公共安全与社区服务</w:t>
            </w:r>
          </w:p>
        </w:tc>
        <w:tc>
          <w:tcPr>
            <w:tcW w:w="709"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10</w:t>
            </w:r>
          </w:p>
        </w:tc>
        <w:tc>
          <w:tcPr>
            <w:tcW w:w="5239"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宋体"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rPr>
              <w:t>物业服务覆盖率（</w:t>
            </w:r>
            <w:r>
              <w:rPr>
                <w:rFonts w:ascii="仿宋_GB2312" w:hAnsi="宋体" w:eastAsia="仿宋_GB2312" w:cs="Times New Roman"/>
                <w:color w:val="000000"/>
                <w:kern w:val="0"/>
                <w:sz w:val="24"/>
                <w:szCs w:val="24"/>
                <w:highlight w:val="none"/>
              </w:rPr>
              <w:t>%）</w:t>
            </w:r>
          </w:p>
        </w:tc>
        <w:tc>
          <w:tcPr>
            <w:tcW w:w="2127"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rPr>
              <w:t>1</w:t>
            </w:r>
            <w:r>
              <w:rPr>
                <w:rFonts w:ascii="仿宋_GB2312" w:hAnsi="宋体" w:eastAsia="仿宋_GB2312" w:cs="Times New Roman"/>
                <w:color w:val="000000"/>
                <w:kern w:val="0"/>
                <w:sz w:val="24"/>
                <w:szCs w:val="24"/>
                <w:highlight w:val="none"/>
              </w:rPr>
              <w:t>00</w:t>
            </w:r>
          </w:p>
        </w:tc>
        <w:tc>
          <w:tcPr>
            <w:tcW w:w="1275" w:type="dxa"/>
            <w:tcBorders>
              <w:top w:val="nil"/>
              <w:left w:val="nil"/>
              <w:bottom w:val="single" w:color="auto" w:sz="4" w:space="0"/>
              <w:right w:val="single" w:color="auto" w:sz="4" w:space="0"/>
            </w:tcBorders>
            <w:noWrap w:val="0"/>
            <w:vAlign w:val="center"/>
          </w:tcPr>
          <w:p>
            <w:pPr>
              <w:widowControl/>
              <w:jc w:val="center"/>
              <w:textAlignment w:val="baseline"/>
              <w:rPr>
                <w:rFonts w:ascii="仿宋_GB2312" w:hAnsi="宋体"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rPr>
              <w:t>预期性</w:t>
            </w:r>
          </w:p>
        </w:tc>
      </w:tr>
      <w:tr>
        <w:tblPrEx>
          <w:tblCellMar>
            <w:top w:w="0" w:type="dxa"/>
            <w:left w:w="108" w:type="dxa"/>
            <w:bottom w:w="0" w:type="dxa"/>
            <w:right w:w="108" w:type="dxa"/>
          </w:tblCellMar>
        </w:tblPrEx>
        <w:trPr>
          <w:trHeight w:val="577" w:hRule="atLeast"/>
          <w:jc w:val="center"/>
        </w:trPr>
        <w:tc>
          <w:tcPr>
            <w:tcW w:w="998" w:type="dxa"/>
            <w:vMerge w:val="continue"/>
            <w:tcBorders>
              <w:left w:val="single" w:color="auto" w:sz="4" w:space="0"/>
              <w:bottom w:val="single" w:color="auto" w:sz="4" w:space="0"/>
              <w:right w:val="single" w:color="auto" w:sz="4" w:space="0"/>
            </w:tcBorders>
            <w:noWrap w:val="0"/>
            <w:vAlign w:val="center"/>
          </w:tcPr>
          <w:p>
            <w:pPr>
              <w:widowControl/>
              <w:jc w:val="center"/>
              <w:textAlignment w:val="baseline"/>
              <w:rPr>
                <w:rFonts w:ascii="仿宋_GB2312" w:hAnsi="宋体" w:eastAsia="仿宋_GB2312" w:cs="Times New Roman"/>
                <w:color w:val="000000"/>
                <w:kern w:val="0"/>
                <w:sz w:val="24"/>
                <w:szCs w:val="24"/>
                <w:highlight w:val="none"/>
              </w:rPr>
            </w:pPr>
          </w:p>
        </w:tc>
        <w:tc>
          <w:tcPr>
            <w:tcW w:w="709" w:type="dxa"/>
            <w:tcBorders>
              <w:top w:val="single" w:color="auto" w:sz="4" w:space="0"/>
              <w:left w:val="nil"/>
              <w:bottom w:val="single" w:color="auto" w:sz="4" w:space="0"/>
              <w:right w:val="single" w:color="auto" w:sz="4" w:space="0"/>
            </w:tcBorders>
            <w:noWrap w:val="0"/>
            <w:vAlign w:val="center"/>
          </w:tcPr>
          <w:p>
            <w:pPr>
              <w:widowControl/>
              <w:jc w:val="center"/>
              <w:textAlignment w:val="baseline"/>
              <w:rPr>
                <w:rFonts w:ascii="仿宋_GB2312" w:hAnsi="Times New Roman" w:eastAsia="仿宋_GB2312" w:cs="Times New Roman"/>
                <w:color w:val="000000"/>
                <w:kern w:val="0"/>
                <w:sz w:val="24"/>
                <w:szCs w:val="24"/>
                <w:highlight w:val="none"/>
              </w:rPr>
            </w:pPr>
            <w:r>
              <w:rPr>
                <w:rFonts w:hint="eastAsia" w:ascii="仿宋_GB2312" w:hAnsi="Times New Roman" w:eastAsia="仿宋_GB2312" w:cs="Times New Roman"/>
                <w:color w:val="000000"/>
                <w:kern w:val="0"/>
                <w:sz w:val="24"/>
                <w:szCs w:val="24"/>
                <w:highlight w:val="none"/>
              </w:rPr>
              <w:t>11</w:t>
            </w:r>
          </w:p>
        </w:tc>
        <w:tc>
          <w:tcPr>
            <w:tcW w:w="5239" w:type="dxa"/>
            <w:tcBorders>
              <w:top w:val="single" w:color="auto" w:sz="4" w:space="0"/>
              <w:left w:val="nil"/>
              <w:bottom w:val="single" w:color="auto" w:sz="4" w:space="0"/>
              <w:right w:val="single" w:color="auto" w:sz="4" w:space="0"/>
            </w:tcBorders>
            <w:noWrap w:val="0"/>
            <w:vAlign w:val="center"/>
          </w:tcPr>
          <w:p>
            <w:pPr>
              <w:widowControl/>
              <w:jc w:val="center"/>
              <w:textAlignment w:val="baseline"/>
              <w:rPr>
                <w:rFonts w:ascii="仿宋_GB2312" w:hAnsi="宋体"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rPr>
              <w:t>重点突发事件发生数量降幅（</w:t>
            </w:r>
            <w:r>
              <w:rPr>
                <w:rFonts w:ascii="仿宋_GB2312" w:hAnsi="宋体" w:eastAsia="仿宋_GB2312" w:cs="Times New Roman"/>
                <w:color w:val="000000"/>
                <w:kern w:val="0"/>
                <w:sz w:val="24"/>
                <w:szCs w:val="24"/>
                <w:highlight w:val="none"/>
              </w:rPr>
              <w:t>%）</w:t>
            </w:r>
          </w:p>
        </w:tc>
        <w:tc>
          <w:tcPr>
            <w:tcW w:w="2127" w:type="dxa"/>
            <w:tcBorders>
              <w:top w:val="single" w:color="auto" w:sz="4" w:space="0"/>
              <w:left w:val="nil"/>
              <w:bottom w:val="single" w:color="auto" w:sz="4" w:space="0"/>
              <w:right w:val="single" w:color="auto" w:sz="4" w:space="0"/>
            </w:tcBorders>
            <w:noWrap w:val="0"/>
            <w:vAlign w:val="center"/>
          </w:tcPr>
          <w:p>
            <w:pPr>
              <w:widowControl/>
              <w:jc w:val="center"/>
              <w:textAlignment w:val="baseline"/>
              <w:rPr>
                <w:rFonts w:ascii="仿宋_GB2312" w:hAnsi="宋体"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lang w:val="en-US" w:eastAsia="zh-CN"/>
              </w:rPr>
              <w:t>≥30</w:t>
            </w:r>
          </w:p>
        </w:tc>
        <w:tc>
          <w:tcPr>
            <w:tcW w:w="1275" w:type="dxa"/>
            <w:tcBorders>
              <w:top w:val="single" w:color="auto" w:sz="4" w:space="0"/>
              <w:left w:val="nil"/>
              <w:bottom w:val="single" w:color="auto" w:sz="4" w:space="0"/>
              <w:right w:val="single" w:color="auto" w:sz="4" w:space="0"/>
            </w:tcBorders>
            <w:noWrap w:val="0"/>
            <w:vAlign w:val="center"/>
          </w:tcPr>
          <w:p>
            <w:pPr>
              <w:widowControl/>
              <w:jc w:val="center"/>
              <w:textAlignment w:val="baseline"/>
              <w:rPr>
                <w:rFonts w:ascii="仿宋_GB2312" w:hAnsi="宋体" w:eastAsia="仿宋_GB2312" w:cs="Times New Roman"/>
                <w:color w:val="000000"/>
                <w:kern w:val="0"/>
                <w:sz w:val="24"/>
                <w:szCs w:val="24"/>
                <w:highlight w:val="none"/>
              </w:rPr>
            </w:pPr>
            <w:r>
              <w:rPr>
                <w:rFonts w:hint="eastAsia" w:ascii="仿宋_GB2312" w:hAnsi="宋体" w:eastAsia="仿宋_GB2312" w:cs="Times New Roman"/>
                <w:color w:val="000000"/>
                <w:kern w:val="0"/>
                <w:sz w:val="24"/>
                <w:szCs w:val="24"/>
                <w:highlight w:val="none"/>
              </w:rPr>
              <w:t>约束性</w:t>
            </w:r>
          </w:p>
        </w:tc>
      </w:tr>
    </w:tbl>
    <w:p>
      <w:pPr>
        <w:spacing w:before="156" w:after="156"/>
        <w:jc w:val="center"/>
        <w:textAlignment w:val="baseline"/>
        <w:rPr>
          <w:rFonts w:ascii="黑体" w:hAnsi="黑体" w:eastAsia="黑体" w:cs="仿宋"/>
          <w:kern w:val="0"/>
          <w:sz w:val="36"/>
          <w:szCs w:val="36"/>
          <w:highlight w:val="none"/>
        </w:rPr>
      </w:pPr>
    </w:p>
    <w:p>
      <w:pPr>
        <w:spacing w:before="156" w:after="156"/>
        <w:jc w:val="center"/>
        <w:textAlignment w:val="baseline"/>
        <w:rPr>
          <w:rFonts w:ascii="黑体" w:hAnsi="黑体" w:eastAsia="黑体" w:cs="仿宋"/>
          <w:kern w:val="0"/>
          <w:sz w:val="36"/>
          <w:szCs w:val="36"/>
          <w:highlight w:val="none"/>
        </w:rPr>
      </w:pPr>
    </w:p>
    <w:p>
      <w:pPr>
        <w:spacing w:before="156" w:after="156"/>
        <w:jc w:val="center"/>
        <w:textAlignment w:val="baseline"/>
        <w:rPr>
          <w:rFonts w:ascii="黑体" w:hAnsi="黑体" w:eastAsia="黑体" w:cs="仿宋"/>
          <w:kern w:val="0"/>
          <w:sz w:val="36"/>
          <w:szCs w:val="36"/>
          <w:highlight w:val="none"/>
        </w:rPr>
      </w:pPr>
    </w:p>
    <w:p>
      <w:pPr>
        <w:rPr>
          <w:rFonts w:ascii="黑体" w:hAnsi="黑体" w:eastAsia="黑体" w:cs="仿宋"/>
          <w:kern w:val="0"/>
          <w:sz w:val="36"/>
          <w:szCs w:val="36"/>
          <w:highlight w:val="none"/>
        </w:rPr>
      </w:pPr>
      <w:r>
        <w:rPr>
          <w:rFonts w:ascii="黑体" w:hAnsi="黑体" w:eastAsia="黑体" w:cs="仿宋"/>
          <w:kern w:val="0"/>
          <w:sz w:val="36"/>
          <w:szCs w:val="36"/>
          <w:highlight w:val="none"/>
        </w:rPr>
        <w:br w:type="page"/>
      </w:r>
    </w:p>
    <w:p>
      <w:pPr>
        <w:keepNext w:val="0"/>
        <w:pageBreakBefore w:val="0"/>
        <w:widowControl w:val="0"/>
        <w:kinsoku/>
        <w:wordWrap/>
        <w:overflowPunct/>
        <w:topLinePunct w:val="0"/>
        <w:autoSpaceDE/>
        <w:autoSpaceDN/>
        <w:bidi w:val="0"/>
        <w:adjustRightInd/>
        <w:snapToGrid w:val="0"/>
        <w:spacing w:line="560" w:lineRule="exact"/>
        <w:jc w:val="center"/>
        <w:textAlignment w:val="baseline"/>
        <w:outlineLvl w:val="0"/>
        <w:rPr>
          <w:rFonts w:hint="eastAsia" w:ascii="黑体" w:hAnsi="黑体" w:eastAsia="黑体" w:cs="仿宋"/>
          <w:kern w:val="0"/>
          <w:sz w:val="32"/>
          <w:szCs w:val="32"/>
          <w:highlight w:val="none"/>
        </w:rPr>
      </w:pPr>
      <w:bookmarkStart w:id="17" w:name="_Toc70297253"/>
      <w:r>
        <w:rPr>
          <w:rFonts w:hint="eastAsia" w:ascii="黑体" w:hAnsi="黑体" w:eastAsia="黑体" w:cs="仿宋"/>
          <w:kern w:val="0"/>
          <w:sz w:val="32"/>
          <w:szCs w:val="32"/>
          <w:highlight w:val="none"/>
        </w:rPr>
        <w:t>第三章  重点任务</w:t>
      </w:r>
      <w:bookmarkEnd w:id="17"/>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hint="eastAsia" w:ascii="黑体" w:hAnsi="黑体" w:eastAsia="黑体" w:cs="Times New Roman"/>
          <w:kern w:val="0"/>
          <w:sz w:val="32"/>
          <w:szCs w:val="32"/>
          <w:highlight w:val="none"/>
        </w:rPr>
      </w:pPr>
      <w:bookmarkStart w:id="18" w:name="_Toc70297254"/>
      <w:r>
        <w:rPr>
          <w:rFonts w:hint="eastAsia" w:ascii="黑体" w:hAnsi="黑体" w:eastAsia="黑体" w:cs="Times New Roman"/>
          <w:kern w:val="0"/>
          <w:sz w:val="32"/>
          <w:szCs w:val="32"/>
          <w:highlight w:val="none"/>
        </w:rPr>
        <w:t>一、发展优质均衡的现代化教育</w:t>
      </w:r>
      <w:bookmarkEnd w:id="18"/>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把教育摆在优先发展的战略位置，积极应对学龄群体人口规模增长与结构变化，多种途径推动基础教育资源的布局优化和品质提升，努力建设服务供给更加有力、设施布局更加均衡、资源利用更加高效、品牌特色充分彰显、质量品质首善一流的高水平现代化教育体系，巩固“教育高原”、打造“教育高峰”</w:t>
      </w:r>
      <w:r>
        <w:rPr>
          <w:rFonts w:hint="eastAsia" w:ascii="仿宋_GB2312" w:hAnsi="仿宋" w:eastAsia="仿宋_GB2312" w:cs="Times New Roman"/>
          <w:kern w:val="44"/>
          <w:sz w:val="32"/>
          <w:szCs w:val="32"/>
          <w:highlight w:val="none"/>
          <w:lang w:eastAsia="zh-CN"/>
        </w:rPr>
        <w:t>，做“有温度”的教育</w:t>
      </w:r>
      <w:r>
        <w:rPr>
          <w:rFonts w:hint="eastAsia" w:ascii="仿宋_GB2312" w:hAnsi="仿宋" w:eastAsia="仿宋_GB2312" w:cs="Times New Roman"/>
          <w:kern w:val="44"/>
          <w:sz w:val="32"/>
          <w:szCs w:val="32"/>
          <w:highlight w:val="none"/>
        </w:rPr>
        <w:t>。</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kern w:val="44"/>
          <w:sz w:val="32"/>
          <w:szCs w:val="32"/>
          <w:highlight w:val="none"/>
        </w:rPr>
      </w:pPr>
      <w:r>
        <w:rPr>
          <w:rFonts w:hint="eastAsia" w:ascii="楷体_GB2312" w:hAnsi="楷体_GB2312" w:eastAsia="楷体_GB2312" w:cs="楷体_GB2312"/>
          <w:b w:val="0"/>
          <w:bCs/>
          <w:kern w:val="44"/>
          <w:sz w:val="32"/>
          <w:szCs w:val="32"/>
          <w:highlight w:val="none"/>
        </w:rPr>
        <w:t>（一）优化五育并举的教育体系</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坚持将“立德树人”作为教学育人的根本任务，始终坚持德智体美劳“五育”并举，持续推进“五育”有机融合。推动爱国主义教育与学校教育教学体系深度融合，广泛开展党史、 新中国史、改革开放史、社会主义发展史学习教育，将“四史”教育贯穿“立德树人”全过程。持续优化体育美育与劳动教育机制，充分利用社会教育资源，在社会实践中培养学生的文明素养、审美品味与实践能力。高度重视青少年身体素质和心理健康素养，中小学生体质健康测试及格率达到98.5%以上，优秀率达到30%以上。打造有温度的教育，利用劳动节、建党节、国庆节等重要时间节点，开展爱党、爱国、理想、责任等系列教育活动，提升教育育人功能。</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kern w:val="44"/>
          <w:sz w:val="32"/>
          <w:szCs w:val="32"/>
          <w:highlight w:val="none"/>
        </w:rPr>
      </w:pPr>
      <w:r>
        <w:rPr>
          <w:rFonts w:hint="eastAsia" w:ascii="楷体_GB2312" w:hAnsi="楷体_GB2312" w:eastAsia="楷体_GB2312" w:cs="楷体_GB2312"/>
          <w:b w:val="0"/>
          <w:bCs/>
          <w:kern w:val="44"/>
          <w:sz w:val="32"/>
          <w:szCs w:val="32"/>
          <w:highlight w:val="none"/>
        </w:rPr>
        <w:t>（二）提升普惠性学前教育供给能力</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针对“十四五”期学前教育学龄人口规模将有所减少，但对优质普惠性幼儿园需求更加突出的特点，持续增加优质普惠园的规模和比例，到2025年普惠性幼儿园覆盖率高于80%，基本实现普惠园“一刻钟”全覆盖。推进普惠性幼儿园持续扩容，大力举办教委园，通过租借、置换等形式，积极盘活存量资源，链接增量资源，积极鼓励各类主体参与普惠性幼儿园建设，支持机关单位和企业举办幼儿园、民办园开展转普工作。加强公共财政对学前教育资源的支持力度，完善幼儿园管理督导，强化过程动态监管，全面提升教学质量。</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kern w:val="44"/>
          <w:sz w:val="32"/>
          <w:szCs w:val="32"/>
          <w:highlight w:val="none"/>
        </w:rPr>
      </w:pPr>
      <w:r>
        <w:rPr>
          <w:rFonts w:hint="eastAsia" w:ascii="楷体_GB2312" w:hAnsi="楷体_GB2312" w:eastAsia="楷体_GB2312" w:cs="楷体_GB2312"/>
          <w:b w:val="0"/>
          <w:bCs/>
          <w:kern w:val="44"/>
          <w:sz w:val="32"/>
          <w:szCs w:val="32"/>
          <w:highlight w:val="none"/>
        </w:rPr>
        <w:t>（三）实施义务教育学位增补工程</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基于“十四五”时期小学学位需求将大幅递增、初中学位缺口逐步显现的局面，积极实施义务教育学位增补工程，新增学位2.2万个以上，优先补足德胜、陶白、广外等学区学位缺口。协调增加教育用地，完善资源统筹、审批协调、监管验收等机制，调动各方资源，优先选取容积率低的项目用于教育。开展中小学校建设专项行动，积极推进中古友谊小学分校翻建工程、161中学南校区改扩建工程等重点项目，到2025年完成改扩建工程项目11个。开展“品牌示范校评定与校际帮扶计划”,通过置换租借、集团办学、学区联盟等方式，不断扩大学位保障能力和优质资源辐射能力。稳步提升义务阶段师资规模与能力水平，大力引进京内外高水平学校管理人才和学科教师，建立优秀人才梯队储备制度，建设一流教师团队。</w:t>
      </w:r>
    </w:p>
    <w:p>
      <w:pPr>
        <w:keepNext w:val="0"/>
        <w:pageBreakBefore w:val="0"/>
        <w:widowControl w:val="0"/>
        <w:kinsoku/>
        <w:wordWrap/>
        <w:overflowPunct/>
        <w:topLinePunct w:val="0"/>
        <w:autoSpaceDE/>
        <w:autoSpaceDN/>
        <w:bidi w:val="0"/>
        <w:adjustRightInd/>
        <w:snapToGrid w:val="0"/>
        <w:spacing w:line="560" w:lineRule="exact"/>
        <w:textAlignment w:val="baseline"/>
        <w:rPr>
          <w:rFonts w:hint="eastAsia" w:ascii="楷体_GB2312" w:hAnsi="楷体_GB2312" w:eastAsia="楷体_GB2312" w:cs="楷体_GB2312"/>
          <w:b w:val="0"/>
          <w:bCs/>
          <w:kern w:val="44"/>
          <w:sz w:val="32"/>
          <w:szCs w:val="32"/>
          <w:highlight w:val="none"/>
        </w:rPr>
      </w:pPr>
      <w:r>
        <w:rPr>
          <w:rFonts w:hint="eastAsia" w:ascii="仿宋_GB2312" w:hAnsi="仿宋" w:eastAsia="仿宋_GB2312" w:cs="Times New Roman"/>
          <w:b/>
          <w:kern w:val="44"/>
          <w:sz w:val="32"/>
          <w:szCs w:val="32"/>
          <w:highlight w:val="none"/>
        </w:rPr>
        <w:t xml:space="preserve">   </w:t>
      </w:r>
      <w:r>
        <w:rPr>
          <w:rFonts w:hint="eastAsia" w:ascii="楷体_GB2312" w:hAnsi="楷体_GB2312" w:eastAsia="楷体_GB2312" w:cs="楷体_GB2312"/>
          <w:b w:val="0"/>
          <w:bCs/>
          <w:kern w:val="44"/>
          <w:sz w:val="32"/>
          <w:szCs w:val="32"/>
          <w:highlight w:val="none"/>
        </w:rPr>
        <w:t>（四）推动现代职业教育转型提质</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推进西城区职业教育转型发展，形成精干高质、特色鲜明的职业教育品牌。开展校企合作、工学结合，合作开发工作任务导向的课程，开展顶岗实习及订单式培养，保持职业教育就业率100%。有效激活职教资源，探索辐射外地联合办学、下沉师资服务社区等办学形式，适当利用闲置设施补充学前教育和义务教育。探索建立跨区域协同的职教基地，加强与京津冀职业教育的协同发展，建设服务西城、服务当地的职教基地。</w:t>
      </w:r>
    </w:p>
    <w:p>
      <w:pPr>
        <w:keepNext w:val="0"/>
        <w:pageBreakBefore w:val="0"/>
        <w:widowControl w:val="0"/>
        <w:kinsoku/>
        <w:wordWrap/>
        <w:overflowPunct/>
        <w:topLinePunct w:val="0"/>
        <w:autoSpaceDE/>
        <w:autoSpaceDN/>
        <w:bidi w:val="0"/>
        <w:adjustRightInd/>
        <w:snapToGrid w:val="0"/>
        <w:spacing w:line="560" w:lineRule="exact"/>
        <w:textAlignment w:val="baseline"/>
        <w:rPr>
          <w:rFonts w:hint="eastAsia" w:ascii="楷体_GB2312" w:hAnsi="楷体_GB2312" w:eastAsia="楷体_GB2312" w:cs="楷体_GB2312"/>
          <w:b w:val="0"/>
          <w:bCs/>
          <w:kern w:val="44"/>
          <w:sz w:val="32"/>
          <w:szCs w:val="32"/>
          <w:highlight w:val="none"/>
        </w:rPr>
      </w:pPr>
      <w:r>
        <w:rPr>
          <w:rFonts w:hint="eastAsia" w:ascii="仿宋_GB2312" w:hAnsi="仿宋" w:eastAsia="仿宋_GB2312" w:cs="Times New Roman"/>
          <w:b/>
          <w:kern w:val="44"/>
          <w:sz w:val="32"/>
          <w:szCs w:val="32"/>
          <w:highlight w:val="none"/>
        </w:rPr>
        <w:t xml:space="preserve">   </w:t>
      </w:r>
      <w:r>
        <w:rPr>
          <w:rFonts w:hint="eastAsia" w:ascii="楷体_GB2312" w:hAnsi="楷体_GB2312" w:eastAsia="楷体_GB2312" w:cs="楷体_GB2312"/>
          <w:b w:val="0"/>
          <w:bCs/>
          <w:kern w:val="44"/>
          <w:sz w:val="32"/>
          <w:szCs w:val="32"/>
          <w:highlight w:val="none"/>
        </w:rPr>
        <w:t xml:space="preserve"> （五）完善学校与社会教育设施融合机制</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_GB2312" w:eastAsia="仿宋_GB2312" w:cs="仿宋_GB2312"/>
          <w:kern w:val="44"/>
          <w:sz w:val="32"/>
          <w:szCs w:val="32"/>
          <w:highlight w:val="none"/>
        </w:rPr>
      </w:pPr>
      <w:r>
        <w:rPr>
          <w:rFonts w:hint="eastAsia" w:ascii="仿宋_GB2312" w:hAnsi="仿宋_GB2312" w:eastAsia="仿宋_GB2312" w:cs="仿宋_GB2312"/>
          <w:kern w:val="44"/>
          <w:sz w:val="32"/>
          <w:szCs w:val="32"/>
          <w:highlight w:val="none"/>
        </w:rPr>
        <w:t>积极开发公共文化设施的教育功能，充分利用西城历史文化资源，</w:t>
      </w:r>
      <w:r>
        <w:rPr>
          <w:rFonts w:hint="eastAsia" w:ascii="仿宋_GB2312" w:hAnsi="仿宋_GB2312" w:eastAsia="仿宋_GB2312" w:cs="仿宋_GB2312"/>
          <w:kern w:val="44"/>
          <w:sz w:val="32"/>
          <w:szCs w:val="32"/>
          <w:highlight w:val="none"/>
          <w:lang w:eastAsia="zh-CN"/>
        </w:rPr>
        <w:t>激发</w:t>
      </w:r>
      <w:r>
        <w:rPr>
          <w:rFonts w:hint="eastAsia" w:ascii="仿宋_GB2312" w:hAnsi="仿宋_GB2312" w:eastAsia="仿宋_GB2312" w:cs="仿宋_GB2312"/>
          <w:kern w:val="44"/>
          <w:sz w:val="32"/>
          <w:szCs w:val="32"/>
          <w:highlight w:val="none"/>
        </w:rPr>
        <w:t>博物馆、体育馆、文化艺术场所、民办教育机构等社会资源的育人职责，扶持社会组织参与义务教育阶段的成长教育服务，规范非营利培训机构服务内容和价格，建立并完善儿童社会教育政策支持体系。创新学校、家庭和社会协同育人机制，办好“家长学校”，构建教育发展的良好生态和育人环境。建立完善“区—街道—社区”三级老年教育服务网络，在 15 个街道设立老年教育学习基地。构建终身教育服务体系，加强市民学习平台建设，区级市民终身学习服务基地达到 120 家，建成 20 家市级市民学习示范基地。实施“职业教育服务社区”项目。</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kern w:val="44"/>
          <w:sz w:val="32"/>
          <w:szCs w:val="32"/>
          <w:highlight w:val="none"/>
        </w:rPr>
      </w:pPr>
      <w:r>
        <w:rPr>
          <w:rFonts w:hint="eastAsia" w:ascii="楷体_GB2312" w:hAnsi="楷体_GB2312" w:eastAsia="楷体_GB2312" w:cs="楷体_GB2312"/>
          <w:b w:val="0"/>
          <w:bCs/>
          <w:kern w:val="44"/>
          <w:sz w:val="32"/>
          <w:szCs w:val="32"/>
          <w:highlight w:val="none"/>
        </w:rPr>
        <w:t>（六）打造信息化智慧教育体系</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实施智慧教育“新基建”，打造“未来智慧教育”一把手工程，建立健全教育信息化可持续发展机制。加强在线教育服务平台建设，不断完善“学园西城”“人文行走”等教育平台，拓展优质教育资源覆盖面。开展“智能云”教育改革，建设教育大数据基础平台，积极探索人工智能技术与教学内容、教学方法、教学评价、教学管理等要素深度融合的路径和方法，加快推进人工智能与教育的深度融合和创新发展。推进智慧校园建设，研究发布各级各类学校智慧校园建设规范，完善校园应用系统建设，建设区校一体、人人可享有的优质数字教育资源供给体系，实现各级各类学校智慧校园100%全覆盖。</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ascii="黑体" w:hAnsi="黑体" w:eastAsia="黑体" w:cs="Times New Roman"/>
          <w:kern w:val="0"/>
          <w:sz w:val="32"/>
          <w:szCs w:val="32"/>
          <w:highlight w:val="none"/>
        </w:rPr>
      </w:pPr>
      <w:bookmarkStart w:id="19" w:name="_Toc70297255"/>
      <w:r>
        <w:rPr>
          <w:rFonts w:ascii="黑体" w:hAnsi="黑体" w:eastAsia="黑体" w:cs="Times New Roman"/>
          <w:kern w:val="0"/>
          <w:sz w:val="32"/>
          <w:szCs w:val="32"/>
          <w:highlight w:val="none"/>
        </w:rPr>
        <w:t>二、</w:t>
      </w:r>
      <w:r>
        <w:rPr>
          <w:rFonts w:hint="eastAsia" w:ascii="黑体" w:hAnsi="黑体" w:eastAsia="黑体" w:cs="Times New Roman"/>
          <w:kern w:val="0"/>
          <w:sz w:val="32"/>
          <w:szCs w:val="32"/>
          <w:highlight w:val="none"/>
        </w:rPr>
        <w:t>建设</w:t>
      </w:r>
      <w:r>
        <w:rPr>
          <w:rFonts w:ascii="黑体" w:hAnsi="黑体" w:eastAsia="黑体" w:cs="Times New Roman"/>
          <w:kern w:val="0"/>
          <w:sz w:val="32"/>
          <w:szCs w:val="32"/>
          <w:highlight w:val="none"/>
        </w:rPr>
        <w:t>更高质量的“健康西城”</w:t>
      </w:r>
      <w:bookmarkEnd w:id="19"/>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_GB2312" w:eastAsia="仿宋_GB2312" w:cs="仿宋_GB2312"/>
          <w:kern w:val="44"/>
          <w:sz w:val="32"/>
          <w:szCs w:val="32"/>
          <w:highlight w:val="none"/>
        </w:rPr>
      </w:pPr>
      <w:r>
        <w:rPr>
          <w:rFonts w:hint="eastAsia" w:ascii="仿宋_GB2312" w:hAnsi="仿宋_GB2312" w:eastAsia="仿宋_GB2312" w:cs="仿宋_GB2312"/>
          <w:kern w:val="44"/>
          <w:sz w:val="32"/>
          <w:szCs w:val="32"/>
          <w:highlight w:val="none"/>
          <w:lang w:eastAsia="zh-CN"/>
        </w:rPr>
        <w:t>坚持人民至上、生命至上，</w:t>
      </w:r>
      <w:r>
        <w:rPr>
          <w:rFonts w:hint="eastAsia" w:ascii="仿宋_GB2312" w:hAnsi="仿宋_GB2312" w:eastAsia="仿宋_GB2312" w:cs="仿宋_GB2312"/>
          <w:kern w:val="44"/>
          <w:sz w:val="32"/>
          <w:szCs w:val="32"/>
          <w:highlight w:val="none"/>
        </w:rPr>
        <w:t>全面推进“健康西城”建设，提升基层医疗服务能力，构建设施布局均衡合理、资源配置精细完善、服务功能健全优质、应急处置规范高效的医疗卫生服务体系，逐步形成全生命健康管理机制，推动健康服务从疾病管理向健康管理转变。</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kern w:val="44"/>
          <w:sz w:val="32"/>
          <w:szCs w:val="32"/>
          <w:highlight w:val="none"/>
        </w:rPr>
      </w:pPr>
      <w:r>
        <w:rPr>
          <w:rFonts w:hint="eastAsia" w:ascii="楷体_GB2312" w:hAnsi="楷体_GB2312" w:eastAsia="楷体_GB2312" w:cs="楷体_GB2312"/>
          <w:b w:val="0"/>
          <w:bCs/>
          <w:kern w:val="44"/>
          <w:sz w:val="32"/>
          <w:szCs w:val="32"/>
          <w:highlight w:val="none"/>
        </w:rPr>
        <w:t>（一）健全公共卫生事件应急体系</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ascii="Times New Roman" w:hAnsi="Times New Roman" w:eastAsia="仿宋_GB2312" w:cs="Times New Roman"/>
          <w:kern w:val="44"/>
          <w:sz w:val="32"/>
          <w:szCs w:val="32"/>
          <w:highlight w:val="none"/>
        </w:rPr>
      </w:pPr>
      <w:r>
        <w:rPr>
          <w:rFonts w:hint="eastAsia" w:ascii="仿宋_GB2312" w:hAnsi="仿宋_GB2312" w:eastAsia="仿宋_GB2312" w:cs="仿宋_GB2312"/>
          <w:kern w:val="44"/>
          <w:sz w:val="32"/>
          <w:szCs w:val="32"/>
          <w:highlight w:val="none"/>
        </w:rPr>
        <w:t>完善“及时发现、快速处置、精准管控、有效救治”的新冠肺炎疫情常态化防控机制，提升突发公共卫生事件应急处置能力。进一步健全分级分层的传染病疫情的监测、预警体系，</w:t>
      </w:r>
      <w:r>
        <w:rPr>
          <w:rFonts w:hint="eastAsia" w:ascii="仿宋_GB2312" w:hAnsi="仿宋_GB2312" w:eastAsia="仿宋_GB2312" w:cs="仿宋_GB2312"/>
          <w:kern w:val="44"/>
          <w:sz w:val="32"/>
          <w:szCs w:val="32"/>
          <w:highlight w:val="none"/>
          <w:lang w:eastAsia="zh-CN"/>
        </w:rPr>
        <w:t>增加</w:t>
      </w:r>
      <w:r>
        <w:rPr>
          <w:rFonts w:hint="eastAsia" w:ascii="仿宋_GB2312" w:hAnsi="仿宋_GB2312" w:eastAsia="仿宋_GB2312" w:cs="仿宋_GB2312"/>
          <w:kern w:val="44"/>
          <w:sz w:val="32"/>
          <w:szCs w:val="32"/>
          <w:highlight w:val="none"/>
        </w:rPr>
        <w:t>传染病监测哨点和监测病种，完善疫病源头控制和及时报告机制。优化突发公共卫生事件应急响应机制，加快院前急救站点建设，</w:t>
      </w:r>
      <w:r>
        <w:rPr>
          <w:rFonts w:hint="eastAsia" w:ascii="仿宋_GB2312" w:hAnsi="仿宋_GB2312" w:eastAsia="仿宋_GB2312" w:cs="仿宋_GB2312"/>
          <w:kern w:val="44"/>
          <w:sz w:val="32"/>
          <w:szCs w:val="32"/>
          <w:highlight w:val="none"/>
          <w:lang w:val="en-US" w:eastAsia="zh-CN"/>
        </w:rPr>
        <w:t>每个街道至少设1个标准化急救工作站。到2025年，全区应急救援能力大幅提升，实现120急救车平均到达时间8分钟，院前呼叫响应率保持在99%以上。</w:t>
      </w:r>
      <w:r>
        <w:rPr>
          <w:rFonts w:hint="eastAsia" w:ascii="仿宋_GB2312" w:hAnsi="仿宋_GB2312" w:eastAsia="仿宋_GB2312" w:cs="仿宋_GB2312"/>
          <w:kern w:val="44"/>
          <w:sz w:val="32"/>
          <w:szCs w:val="32"/>
          <w:highlight w:val="none"/>
        </w:rPr>
        <w:t>进一步加强区级疾控中心建设，万名常住人口配备疾控人员不低于</w:t>
      </w:r>
      <w:r>
        <w:rPr>
          <w:rFonts w:hint="eastAsia" w:ascii="仿宋_GB2312" w:hAnsi="仿宋_GB2312" w:eastAsia="仿宋_GB2312" w:cs="仿宋_GB2312"/>
          <w:kern w:val="44"/>
          <w:sz w:val="32"/>
          <w:szCs w:val="32"/>
          <w:highlight w:val="none"/>
          <w:lang w:val="en-US" w:eastAsia="zh-CN"/>
        </w:rPr>
        <w:t>3.16</w:t>
      </w:r>
      <w:r>
        <w:rPr>
          <w:rFonts w:hint="eastAsia" w:ascii="仿宋_GB2312" w:hAnsi="仿宋_GB2312" w:eastAsia="仿宋_GB2312" w:cs="仿宋_GB2312"/>
          <w:kern w:val="44"/>
          <w:sz w:val="32"/>
          <w:szCs w:val="32"/>
          <w:highlight w:val="none"/>
        </w:rPr>
        <w:t>人。完善突发卫生公共事件的防疫分区与应急生活圈建设，防疫分区内适当设立步行可达的防灾与应急生活圈。</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kern w:val="44"/>
          <w:sz w:val="32"/>
          <w:szCs w:val="32"/>
          <w:highlight w:val="none"/>
        </w:rPr>
      </w:pPr>
      <w:r>
        <w:rPr>
          <w:rFonts w:hint="eastAsia" w:ascii="楷体_GB2312" w:hAnsi="楷体_GB2312" w:eastAsia="楷体_GB2312" w:cs="楷体_GB2312"/>
          <w:b w:val="0"/>
          <w:bCs/>
          <w:kern w:val="44"/>
          <w:sz w:val="32"/>
          <w:szCs w:val="32"/>
          <w:highlight w:val="none"/>
        </w:rPr>
        <w:t>（二）促进基层医疗设施增补优化</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_GB2312" w:eastAsia="仿宋_GB2312" w:cs="仿宋_GB2312"/>
          <w:kern w:val="44"/>
          <w:sz w:val="32"/>
          <w:szCs w:val="32"/>
          <w:highlight w:val="none"/>
        </w:rPr>
      </w:pPr>
      <w:r>
        <w:rPr>
          <w:rFonts w:hint="eastAsia" w:ascii="仿宋_GB2312" w:hAnsi="仿宋_GB2312" w:eastAsia="仿宋_GB2312" w:cs="仿宋_GB2312"/>
          <w:kern w:val="44"/>
          <w:sz w:val="32"/>
          <w:szCs w:val="32"/>
          <w:highlight w:val="none"/>
        </w:rPr>
        <w:t>推动基层医疗卫生服务设施标准化建设与均衡化布局，重点推进无实体社区卫生服务中心/站的建设，常住人口较多的街道建设规模较大的中心站，完善社区卫生15分钟服务圈，持续优化就诊环境，到2025年基层诊疗人次占总诊疗人次比例超过55%。加强社区医疗设施提质改造，完成广外社区卫生服务中心装修改造工程、天桥社区卫生服务中心装修改造工程等重点工程，增加部分社区卫生服务站布点。加强基层心理健康服务能力建设，鼓励支持社区卫生服务中心开设心理科或搭建心理健康服务平台，形成以街道为单位的街道-社区两级社会心理服务网络。</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kern w:val="44"/>
          <w:sz w:val="32"/>
          <w:szCs w:val="32"/>
          <w:highlight w:val="none"/>
        </w:rPr>
      </w:pPr>
      <w:r>
        <w:rPr>
          <w:rFonts w:hint="eastAsia" w:ascii="楷体_GB2312" w:hAnsi="楷体_GB2312" w:eastAsia="楷体_GB2312" w:cs="楷体_GB2312"/>
          <w:b w:val="0"/>
          <w:bCs/>
          <w:kern w:val="44"/>
          <w:sz w:val="32"/>
          <w:szCs w:val="32"/>
          <w:highlight w:val="none"/>
        </w:rPr>
        <w:t>（</w:t>
      </w:r>
      <w:r>
        <w:rPr>
          <w:rFonts w:hint="eastAsia" w:ascii="楷体_GB2312" w:hAnsi="楷体_GB2312" w:eastAsia="楷体_GB2312" w:cs="楷体_GB2312"/>
          <w:b w:val="0"/>
          <w:bCs/>
          <w:kern w:val="44"/>
          <w:sz w:val="32"/>
          <w:szCs w:val="32"/>
          <w:highlight w:val="none"/>
          <w:lang w:val="en-US" w:eastAsia="zh-CN"/>
        </w:rPr>
        <w:t>三</w:t>
      </w:r>
      <w:r>
        <w:rPr>
          <w:rFonts w:hint="eastAsia" w:ascii="楷体_GB2312" w:hAnsi="楷体_GB2312" w:eastAsia="楷体_GB2312" w:cs="楷体_GB2312"/>
          <w:b w:val="0"/>
          <w:bCs/>
          <w:kern w:val="44"/>
          <w:sz w:val="32"/>
          <w:szCs w:val="32"/>
          <w:highlight w:val="none"/>
        </w:rPr>
        <w:t>）推动医疗设施提升与融合计划</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_GB2312" w:eastAsia="仿宋_GB2312" w:cs="仿宋_GB2312"/>
          <w:kern w:val="44"/>
          <w:sz w:val="32"/>
          <w:szCs w:val="32"/>
          <w:highlight w:val="none"/>
        </w:rPr>
      </w:pPr>
      <w:r>
        <w:rPr>
          <w:rFonts w:hint="eastAsia" w:ascii="仿宋_GB2312" w:hAnsi="仿宋_GB2312" w:eastAsia="仿宋_GB2312" w:cs="仿宋_GB2312"/>
          <w:kern w:val="44"/>
          <w:sz w:val="32"/>
          <w:szCs w:val="32"/>
          <w:highlight w:val="none"/>
        </w:rPr>
        <w:t>提升区属医疗设施服务基础能力，推进区属医疗机构发热门诊病房</w:t>
      </w:r>
      <w:r>
        <w:rPr>
          <w:rFonts w:hint="eastAsia" w:ascii="仿宋_GB2312" w:hAnsi="仿宋_GB2312" w:eastAsia="仿宋_GB2312" w:cs="仿宋_GB2312"/>
          <w:kern w:val="44"/>
          <w:sz w:val="32"/>
          <w:szCs w:val="32"/>
          <w:highlight w:val="none"/>
          <w:lang w:eastAsia="zh-CN"/>
        </w:rPr>
        <w:t>等</w:t>
      </w:r>
      <w:r>
        <w:rPr>
          <w:rFonts w:hint="eastAsia" w:ascii="仿宋_GB2312" w:hAnsi="仿宋_GB2312" w:eastAsia="仿宋_GB2312" w:cs="仿宋_GB2312"/>
          <w:kern w:val="44"/>
          <w:sz w:val="32"/>
          <w:szCs w:val="32"/>
          <w:highlight w:val="none"/>
        </w:rPr>
        <w:t>基础设施建设，在二级以上医院增补核酸检测实验室。加强医疗服务机构的规范化、标准化、信息化建设，促进各级各类医疗设施之间共建共享，推进区域检验中心建设，试点建设独立的区域影像中心，逐步建成“首诊在基层、大病在医院、康复回社区”的医疗设施双闭环体系。实现医疗与养老、助残等设施之间的融合，鼓励床位使用率低于85%的医院将闲置床位调整为康复、为老、助残服务床位，鼓励辖区民营医院开展医养结合工作。</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kern w:val="44"/>
          <w:sz w:val="32"/>
          <w:szCs w:val="32"/>
          <w:highlight w:val="none"/>
        </w:rPr>
      </w:pPr>
      <w:r>
        <w:rPr>
          <w:rFonts w:hint="eastAsia" w:ascii="楷体_GB2312" w:hAnsi="楷体_GB2312" w:eastAsia="楷体_GB2312" w:cs="楷体_GB2312"/>
          <w:b w:val="0"/>
          <w:bCs/>
          <w:kern w:val="44"/>
          <w:sz w:val="32"/>
          <w:szCs w:val="32"/>
          <w:highlight w:val="none"/>
        </w:rPr>
        <w:t>（</w:t>
      </w:r>
      <w:r>
        <w:rPr>
          <w:rFonts w:hint="eastAsia" w:ascii="楷体_GB2312" w:hAnsi="楷体_GB2312" w:eastAsia="楷体_GB2312" w:cs="楷体_GB2312"/>
          <w:b w:val="0"/>
          <w:bCs/>
          <w:kern w:val="44"/>
          <w:sz w:val="32"/>
          <w:szCs w:val="32"/>
          <w:highlight w:val="none"/>
          <w:lang w:eastAsia="zh-CN"/>
        </w:rPr>
        <w:t>四</w:t>
      </w:r>
      <w:r>
        <w:rPr>
          <w:rFonts w:hint="eastAsia" w:ascii="楷体_GB2312" w:hAnsi="楷体_GB2312" w:eastAsia="楷体_GB2312" w:cs="楷体_GB2312"/>
          <w:b w:val="0"/>
          <w:bCs/>
          <w:kern w:val="44"/>
          <w:sz w:val="32"/>
          <w:szCs w:val="32"/>
          <w:highlight w:val="none"/>
        </w:rPr>
        <w:t>）建设高效协同的分级诊疗体系</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_GB2312" w:eastAsia="仿宋_GB2312" w:cs="仿宋_GB2312"/>
          <w:kern w:val="44"/>
          <w:sz w:val="32"/>
          <w:szCs w:val="32"/>
          <w:highlight w:val="none"/>
        </w:rPr>
      </w:pPr>
      <w:r>
        <w:rPr>
          <w:rFonts w:hint="eastAsia" w:ascii="仿宋_GB2312" w:hAnsi="仿宋_GB2312" w:eastAsia="仿宋_GB2312" w:cs="仿宋_GB2312"/>
          <w:kern w:val="44"/>
          <w:sz w:val="32"/>
          <w:szCs w:val="32"/>
          <w:highlight w:val="none"/>
        </w:rPr>
        <w:t>以常见病、多发病、慢性病分级诊疗为突破口，构建社区首诊、双向转诊、急慢分治、上下联动的分级诊疗体系。推进家庭医生签约服务对象向普通人群的逐步扩展，提升家庭医生首诊服务质量，完善签约服务区机制和回访中心，建立有效的考核激励机制。改进公共卫生服务评估机制，</w:t>
      </w:r>
      <w:r>
        <w:rPr>
          <w:rFonts w:hint="eastAsia" w:ascii="仿宋_GB2312" w:hAnsi="仿宋_GB2312" w:eastAsia="仿宋_GB2312" w:cs="仿宋_GB2312"/>
          <w:kern w:val="44"/>
          <w:sz w:val="32"/>
          <w:szCs w:val="32"/>
          <w:highlight w:val="none"/>
          <w:lang w:eastAsia="zh-CN"/>
        </w:rPr>
        <w:t>持续落实“两个允许”政策，</w:t>
      </w:r>
      <w:r>
        <w:rPr>
          <w:rFonts w:hint="eastAsia" w:ascii="仿宋_GB2312" w:hAnsi="仿宋_GB2312" w:eastAsia="仿宋_GB2312" w:cs="仿宋_GB2312"/>
          <w:kern w:val="44"/>
          <w:sz w:val="32"/>
          <w:szCs w:val="32"/>
          <w:highlight w:val="none"/>
        </w:rPr>
        <w:t>探索有效的绩效管理办法</w:t>
      </w:r>
      <w:r>
        <w:rPr>
          <w:rFonts w:hint="eastAsia" w:ascii="仿宋_GB2312" w:hAnsi="仿宋_GB2312" w:eastAsia="仿宋_GB2312" w:cs="仿宋_GB2312"/>
          <w:kern w:val="44"/>
          <w:sz w:val="32"/>
          <w:szCs w:val="32"/>
          <w:highlight w:val="none"/>
          <w:lang w:eastAsia="zh-CN"/>
        </w:rPr>
        <w:t>，充分激励基层医疗卫生人员积极性</w:t>
      </w:r>
      <w:r>
        <w:rPr>
          <w:rFonts w:hint="eastAsia" w:ascii="仿宋_GB2312" w:hAnsi="仿宋_GB2312" w:eastAsia="仿宋_GB2312" w:cs="仿宋_GB2312"/>
          <w:kern w:val="44"/>
          <w:sz w:val="32"/>
          <w:szCs w:val="32"/>
          <w:highlight w:val="none"/>
        </w:rPr>
        <w:t>。推进智慧医疗，探索“诊间支付”“床旁结算”“先看病后付费”信用就医服务模式，推进健康和医疗信息在医疗机构、家庭医生和居民之间共享。加强卫生健康人才队伍建设，到2025年每千常住人口执业（助理）医师数达到</w:t>
      </w:r>
      <w:r>
        <w:rPr>
          <w:rFonts w:hint="eastAsia" w:ascii="仿宋_GB2312" w:hAnsi="仿宋_GB2312" w:eastAsia="仿宋_GB2312" w:cs="仿宋_GB2312"/>
          <w:kern w:val="44"/>
          <w:sz w:val="32"/>
          <w:szCs w:val="32"/>
          <w:highlight w:val="none"/>
          <w:lang w:val="en-US" w:eastAsia="zh-CN"/>
        </w:rPr>
        <w:t>12.96</w:t>
      </w:r>
      <w:r>
        <w:rPr>
          <w:rFonts w:hint="eastAsia" w:ascii="仿宋_GB2312" w:hAnsi="仿宋_GB2312" w:eastAsia="仿宋_GB2312" w:cs="仿宋_GB2312"/>
          <w:kern w:val="44"/>
          <w:sz w:val="32"/>
          <w:szCs w:val="32"/>
          <w:highlight w:val="none"/>
        </w:rPr>
        <w:t>人，建立公共卫生“预备役”机制，组建一支不少于1000人的公共卫生志愿者队伍。</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kern w:val="44"/>
          <w:sz w:val="32"/>
          <w:szCs w:val="32"/>
          <w:highlight w:val="none"/>
        </w:rPr>
      </w:pPr>
      <w:r>
        <w:rPr>
          <w:rFonts w:hint="eastAsia" w:ascii="楷体_GB2312" w:hAnsi="楷体_GB2312" w:eastAsia="楷体_GB2312" w:cs="楷体_GB2312"/>
          <w:b w:val="0"/>
          <w:bCs/>
          <w:kern w:val="44"/>
          <w:sz w:val="32"/>
          <w:szCs w:val="32"/>
          <w:highlight w:val="none"/>
        </w:rPr>
        <w:t>（五）优化居民健康管理与服务水平</w:t>
      </w:r>
    </w:p>
    <w:p>
      <w:pPr>
        <w:keepNext w:val="0"/>
        <w:pageBreakBefore w:val="0"/>
        <w:widowControl w:val="0"/>
        <w:kinsoku/>
        <w:wordWrap/>
        <w:overflowPunct/>
        <w:topLinePunct w:val="0"/>
        <w:autoSpaceDE/>
        <w:autoSpaceDN/>
        <w:bidi w:val="0"/>
        <w:adjustRightInd/>
        <w:snapToGrid w:val="0"/>
        <w:spacing w:line="560" w:lineRule="exact"/>
        <w:ind w:firstLine="480"/>
        <w:textAlignment w:val="baseline"/>
        <w:rPr>
          <w:rFonts w:hint="eastAsia" w:ascii="仿宋_GB2312" w:hAnsi="仿宋_GB2312" w:eastAsia="仿宋_GB2312" w:cs="仿宋_GB2312"/>
          <w:kern w:val="44"/>
          <w:sz w:val="32"/>
          <w:szCs w:val="32"/>
          <w:highlight w:val="none"/>
        </w:rPr>
      </w:pPr>
      <w:r>
        <w:rPr>
          <w:rFonts w:hint="eastAsia" w:ascii="仿宋_GB2312" w:hAnsi="仿宋_GB2312" w:eastAsia="仿宋_GB2312" w:cs="仿宋_GB2312"/>
          <w:kern w:val="44"/>
          <w:sz w:val="32"/>
          <w:szCs w:val="32"/>
          <w:highlight w:val="none"/>
        </w:rPr>
        <w:t>构建全生命周期的健康管理与服务机制，不断提升居民健康状况。完善居民电子健康档案，加快人口健康数据资源中心建设，居民电子健康档案规范化建档率不低于</w:t>
      </w:r>
      <w:r>
        <w:rPr>
          <w:rFonts w:hint="eastAsia" w:ascii="仿宋_GB2312" w:hAnsi="仿宋_GB2312" w:eastAsia="仿宋_GB2312" w:cs="仿宋_GB2312"/>
          <w:kern w:val="44"/>
          <w:sz w:val="32"/>
          <w:szCs w:val="32"/>
          <w:highlight w:val="none"/>
          <w:lang w:val="en-US" w:eastAsia="zh-CN"/>
        </w:rPr>
        <w:t>80%</w:t>
      </w:r>
      <w:r>
        <w:rPr>
          <w:rFonts w:hint="eastAsia" w:ascii="仿宋_GB2312" w:hAnsi="仿宋_GB2312" w:eastAsia="仿宋_GB2312" w:cs="仿宋_GB2312"/>
          <w:kern w:val="44"/>
          <w:sz w:val="32"/>
          <w:szCs w:val="32"/>
          <w:highlight w:val="none"/>
        </w:rPr>
        <w:t>。建立健全以社区为基础的慢性病防控网络，促进疾病预防管理，四类慢性病过早死亡率有效控制。发挥中医在慢性病防治康复方面的作用，加强老年病慢病防控中心、老年康复中心、老年治未病中心建设，推动中医与康复技术相结合。</w:t>
      </w:r>
    </w:p>
    <w:p>
      <w:pPr>
        <w:widowControl w:val="0"/>
        <w:jc w:val="left"/>
        <w:rPr>
          <w:rFonts w:hint="eastAsia" w:ascii="等线" w:hAnsi="等线" w:eastAsia="黑体" w:cs="Times New Roman"/>
          <w:kern w:val="2"/>
          <w:sz w:val="36"/>
          <w:szCs w:val="22"/>
          <w:lang w:val="en-US" w:eastAsia="zh-CN" w:bidi="ar-SA"/>
        </w:rPr>
      </w:pP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hint="eastAsia" w:ascii="黑体" w:hAnsi="黑体" w:eastAsia="黑体" w:cs="Times New Roman"/>
          <w:kern w:val="0"/>
          <w:sz w:val="32"/>
          <w:szCs w:val="32"/>
          <w:highlight w:val="none"/>
        </w:rPr>
      </w:pPr>
      <w:bookmarkStart w:id="20" w:name="_Toc70297256"/>
      <w:r>
        <w:rPr>
          <w:rFonts w:hint="eastAsia" w:ascii="黑体" w:hAnsi="黑体" w:eastAsia="黑体" w:cs="Times New Roman"/>
          <w:kern w:val="0"/>
          <w:sz w:val="32"/>
          <w:szCs w:val="32"/>
          <w:highlight w:val="none"/>
        </w:rPr>
        <w:t>三、高标准构建公共文化服务体系</w:t>
      </w:r>
      <w:bookmarkEnd w:id="20"/>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坚持以社会主义核心价值观为引领，传承弘扬老城文化和中华优秀传统文化，更加注重“以文化人、以文育人”，持续增强公共文化服务效能和供给能力，促进公共文化服务身边化、多元化，在探索更高品质、更有特色的文化服务上做出深入探索，构建内容丰富、保障有力、魅力多元的现代公共文化服务体系。</w:t>
      </w:r>
    </w:p>
    <w:p>
      <w:pPr>
        <w:keepNext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baseline"/>
        <w:rPr>
          <w:rFonts w:ascii="仿宋_GB2312" w:hAnsi="仿宋" w:eastAsia="仿宋_GB2312" w:cs="Times New Roman"/>
          <w:b/>
          <w:kern w:val="2"/>
          <w:sz w:val="32"/>
          <w:szCs w:val="32"/>
          <w:highlight w:val="none"/>
          <w:lang w:val="en-US" w:eastAsia="zh-CN" w:bidi="ar-SA"/>
        </w:rPr>
      </w:pPr>
      <w:r>
        <w:rPr>
          <w:rFonts w:hint="eastAsia" w:ascii="楷体_GB2312" w:hAnsi="楷体_GB2312" w:eastAsia="楷体_GB2312" w:cs="楷体_GB2312"/>
          <w:b w:val="0"/>
          <w:bCs/>
          <w:kern w:val="2"/>
          <w:sz w:val="32"/>
          <w:szCs w:val="32"/>
          <w:highlight w:val="none"/>
          <w:lang w:val="en-US" w:eastAsia="zh-CN" w:bidi="ar-SA"/>
        </w:rPr>
        <w:t>（一）着力优化公共文化设施布局</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加强区级标志性公共文化设施规划建设，利用棚户区改造项目，新建一批高品质文化设施项目。支持高水平、高颜值的街道文化中心建设和改造，鼓励跨区域设置街道综合文化中心、街区文化活动室，街道和社区级公共文化设施达标率达到100%，在全市率先构建“10分钟公共文化服务圈”。深化“书香西城”建设，持续推动社会力量参与公共阅读设施建设和公共阅读服务供给，每个街区建设1-2家公共阅读空间，建设一批24小时阅读书房，打造15分钟阅读圈。将人口职住特点考虑到公共文化设施建设之中，着力提升金融街街道、展览路街道等从业人口比例较高区域公共文化供给的精准性。推动文化设施的混合布局与融合设置，鼓励公共文化设施与城市公共空间、公共服务大厅、商业综合体、产业园区、学校、写字楼等设施兼容设置、共建共享，建设一批集文化体验、科技体验、非遗传承等功能于一体的共享空间。</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（二）不断完善公共文化服务供给机制</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bCs/>
          <w:sz w:val="32"/>
          <w:szCs w:val="32"/>
          <w:highlight w:val="none"/>
        </w:rPr>
      </w:pPr>
      <w:r>
        <w:rPr>
          <w:rFonts w:hint="eastAsia" w:ascii="仿宋_GB2312" w:hAnsi="仿宋" w:eastAsia="仿宋_GB2312" w:cs="Times New Roman"/>
          <w:bCs/>
          <w:sz w:val="32"/>
          <w:szCs w:val="32"/>
          <w:highlight w:val="none"/>
        </w:rPr>
        <w:t>进一步健全多元化的公共服务供给方式，逐步形成由政府、企业、非营利组织和公民个体共同提供公共文化服务的新格局。持续优化服务需求对接机制，探索推广“订单式”“点单式”精准化服务模式，构建艺术体验、技能培训、展览展示、网络教育、精品旅游等新型公共文化服务供给体系。完善政府</w:t>
      </w:r>
      <w:r>
        <w:rPr>
          <w:rFonts w:hint="eastAsia" w:ascii="仿宋_GB2312" w:hAnsi="仿宋" w:eastAsia="仿宋_GB2312" w:cs="Times New Roman"/>
          <w:bCs/>
          <w:sz w:val="32"/>
          <w:szCs w:val="32"/>
          <w:highlight w:val="none"/>
          <w:lang w:eastAsia="zh-CN"/>
        </w:rPr>
        <w:t>与</w:t>
      </w:r>
      <w:r>
        <w:rPr>
          <w:rFonts w:hint="eastAsia" w:ascii="仿宋_GB2312" w:hAnsi="仿宋" w:eastAsia="仿宋_GB2312" w:cs="Times New Roman"/>
          <w:bCs/>
          <w:sz w:val="32"/>
          <w:szCs w:val="32"/>
          <w:highlight w:val="none"/>
        </w:rPr>
        <w:t>社会合作机制，鼓励社会力量参与博物馆、展览馆、阅读空间等公共文化服务供给，鼓励企业与公益组织提供各种特色优质的公共文化服务和产品。完善公共图书馆、文化馆、博物馆免费开放机制，形成场馆服务、流动服务和数字服务相结合的公共文化供给模式。</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（三）积极推进西城公共文化品牌建设</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立足新时代文化服务需求，高水准实施文化资源聚合工程、文化名家领航工程、原创精品培育工程、精品演艺集萃工程等“四大精品”工程，培育一批文艺精品力作、演艺精品剧目，鼓励和支持文化品牌走出去，打造具有国际品质的文化品牌。进一步发展群众业余文化团体，支持文娱型社区社会组织发展，提升群众文化机构服务能力，培育西城特色群众文化团队和社区社会组织。深入开展“一街一品”文化服务品牌，将有条件的特色活动打造成为区域性群众文化赛事，不断提升区域文化知名度和影响力。以“我们的节日”、文化惠民“365工程”等项目实施为依托，推动群众开展文艺创作，积极优化文化产品内容质量。巩固央地文化合作，加强京津冀文化交流合作，有效推动文化资源共建共享，形成西城文化强磁场。</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（四）实现文化遗产保护与公共文化服务融合发展</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sz w:val="32"/>
          <w:szCs w:val="32"/>
          <w:highlight w:val="none"/>
        </w:rPr>
      </w:pPr>
      <w:r>
        <w:rPr>
          <w:rFonts w:hint="eastAsia" w:ascii="仿宋_GB2312" w:hAnsi="仿宋" w:eastAsia="仿宋_GB2312" w:cs="Times New Roman"/>
          <w:color w:val="000000"/>
          <w:sz w:val="32"/>
          <w:szCs w:val="32"/>
          <w:highlight w:val="none"/>
        </w:rPr>
        <w:t>推进中轴线西侧腾退后文物的合理有序利用，优先用于补充公共功能，因地制宜建设博物馆、文化馆、艺术馆、图书馆等文化设施，丰富文化体验功能。做好中国共产党早期北京革命活动旧址保护传承利用工作，策划推出具有西城特色的红色传承纪念活动，探索会馆遗产保护与红色文化传承相结合的创新路径，培育弘扬具有西城特色红色文化。</w:t>
      </w:r>
      <w:r>
        <w:rPr>
          <w:rFonts w:hint="eastAsia" w:ascii="仿宋_GB2312" w:hAnsi="仿宋" w:eastAsia="仿宋_GB2312" w:cs="Times New Roman"/>
          <w:color w:val="000000"/>
          <w:sz w:val="32"/>
          <w:szCs w:val="32"/>
          <w:highlight w:val="none"/>
          <w:lang w:eastAsia="zh-CN"/>
        </w:rPr>
        <w:t>配合市级部门</w:t>
      </w:r>
      <w:r>
        <w:rPr>
          <w:rFonts w:hint="eastAsia" w:ascii="仿宋_GB2312" w:hAnsi="仿宋" w:eastAsia="仿宋_GB2312" w:cs="Times New Roman"/>
          <w:color w:val="000000"/>
          <w:sz w:val="32"/>
          <w:szCs w:val="32"/>
          <w:highlight w:val="none"/>
        </w:rPr>
        <w:t>研究提出文化遗产利用的正面清单，</w:t>
      </w:r>
      <w:r>
        <w:rPr>
          <w:rFonts w:hint="eastAsia" w:ascii="仿宋_GB2312" w:hAnsi="仿宋" w:eastAsia="仿宋_GB2312" w:cs="Times New Roman"/>
          <w:color w:val="000000"/>
          <w:sz w:val="32"/>
          <w:szCs w:val="32"/>
          <w:highlight w:val="none"/>
          <w:lang w:eastAsia="zh-CN"/>
        </w:rPr>
        <w:t>强化</w:t>
      </w:r>
      <w:r>
        <w:rPr>
          <w:rFonts w:hint="eastAsia" w:ascii="仿宋_GB2312" w:hAnsi="仿宋" w:eastAsia="仿宋_GB2312" w:cs="Times New Roman"/>
          <w:color w:val="000000"/>
          <w:sz w:val="32"/>
          <w:szCs w:val="32"/>
          <w:highlight w:val="none"/>
        </w:rPr>
        <w:t>文化遗产的管理和使用情况监测，确保利用和保护有机结合。</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hint="eastAsia" w:ascii="黑体" w:hAnsi="黑体" w:eastAsia="黑体" w:cs="Times New Roman"/>
          <w:kern w:val="0"/>
          <w:sz w:val="32"/>
          <w:szCs w:val="32"/>
          <w:highlight w:val="none"/>
        </w:rPr>
      </w:pPr>
      <w:bookmarkStart w:id="21" w:name="_Toc70297257"/>
      <w:r>
        <w:rPr>
          <w:rFonts w:hint="eastAsia" w:ascii="黑体" w:hAnsi="黑体" w:eastAsia="黑体" w:cs="Times New Roman"/>
          <w:kern w:val="0"/>
          <w:sz w:val="32"/>
          <w:szCs w:val="32"/>
          <w:highlight w:val="none"/>
        </w:rPr>
        <w:t>四、建设活力多彩的全民健身体系</w:t>
      </w:r>
      <w:bookmarkEnd w:id="21"/>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积极整合体育资源，完善多层次的体育设施建设，因地制宜建设体育场地、体育设施，鼓励体育设施共建共享，提升体育设施品质。不断健全群众身边的体育社会组织网络，激发体育社会组织活力，构建活力多彩的全民健身服务体系，积极保障人民群众全民健身需求。</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（一）优化公共体育设施空间布局</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有序推进区级公共体育场馆的新建、改建、扩建，增加体育场地数量，提升服务品质，全力推动街道体育设施建设，年均新增体育场地设施面积</w:t>
      </w:r>
      <w:r>
        <w:rPr>
          <w:rFonts w:hint="eastAsia" w:ascii="仿宋_GB2312" w:hAnsi="仿宋" w:eastAsia="仿宋_GB2312" w:cs="Times New Roman"/>
          <w:kern w:val="44"/>
          <w:sz w:val="32"/>
          <w:szCs w:val="32"/>
          <w:highlight w:val="none"/>
          <w:lang w:val="en-US" w:eastAsia="zh-CN"/>
        </w:rPr>
        <w:t>1</w:t>
      </w:r>
      <w:r>
        <w:rPr>
          <w:rFonts w:hint="eastAsia" w:ascii="仿宋_GB2312" w:hAnsi="仿宋" w:eastAsia="仿宋_GB2312" w:cs="Times New Roman"/>
          <w:kern w:val="44"/>
          <w:sz w:val="32"/>
          <w:szCs w:val="32"/>
          <w:highlight w:val="none"/>
        </w:rPr>
        <w:t>万平方米，新增绿地内按平均不少于10%的比例建设体育场地设施，在部分街道的市民中心或综合活动中心中合理安排体育健身设施。推进社区级体育场地设施建设，建设一批多功能复合型健身设施，打造一批群众身边小型多样、环境友好的体育场地设施，鼓励利用疏解腾退空间补足体育设施短板，加大设施开放与资源共享力度，到2025年，经常性参与体育锻炼比例达到55%。</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（二）创新体育设施管理运营机制</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积极推进场地设施管理体制改革和运营机制创新，鼓励采取“委托管理”等方式，运用竞争择优机制选定各类专业化的社会组织或企业运营。吸引社会力量建设便民化、多样化、综合性的体育场地设施，鼓励经营单位适当延长服务时间，研究制定向社会开放体育场地设施的经费补贴和奖励资助办法。通过体育社会组织和社区社会组织广泛开展全民健身竞赛、展示、交流、培训等活动，鼓励和支持社区社会组织和自组织承担社区体育场地、设施的维护管理。建立有公众参与的公共体育场所绩效评估机制，开展公共体育服务场所的评估与考核。积极促进国际、国内特别是京津冀体育交流与合作。</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（三）促进群众冰雪运动普及推广</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以冬奥筹备工作为契机，提升大型体育设施的冰雪运动功能，通过铺设仿真冰场地、引入VR体验等形式增设群众身边的冰雪体验场地，实现每个街道都有1处冰雪体验场地。继续做好什刹海、北海公园、陶然亭公园等自然水域冰雪场地建设和管理，做好冬奥相关活动宣传与培训工作。大力举办西城区全民健身冰雪季活动，加快青少年冰雪运动普及工作，加强冰雪社会体育指导员队伍建设，积极参与京津冀全民健身活动的合作与交流。</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（四）提升全民健身的指导与服务</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进一步健全居民体育健身指导标准，提供精准的健身指导服务，探索个性化健身指导服务“菜单”。建立常态化的国民体质测试服务，依托日常大型体育赛事活动主动向居民提供体质测试服务，将国民体质测试与健康体检有机结合，建立居民综合健康档案，推动健康关口前移。进一步探索“体医融合”建设，研究制定科学健身指导标准，推动形成体医结合的疾病管理与健康服务模式。加强对社区体育文化活动的支持和指导，支持文体融合类社区社会组织和志愿者健康发展，鼓励太极拳等传统健身养生文化进社区，支持学校与社区或社会组织合作开展校外体育健身活动。</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eastAsia="zh-CN"/>
        </w:rPr>
        <w:t>五</w:t>
      </w:r>
      <w:r>
        <w:rPr>
          <w:rFonts w:hint="eastAsia" w:ascii="楷体_GB2312" w:hAnsi="楷体_GB2312" w:eastAsia="楷体_GB2312" w:cs="楷体_GB2312"/>
          <w:b w:val="0"/>
          <w:bCs w:val="0"/>
          <w:sz w:val="32"/>
          <w:szCs w:val="32"/>
          <w:highlight w:val="none"/>
        </w:rPr>
        <w:t>）健全智慧体育服务体系</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推动智能化体育场地设施建设。支持人工智能、大数据、智能制造等新技术应用于体育设施，推进智慧健身路径、智慧健走步道、智慧体育公园建设，到2025年区级公共体育场馆实现100%智慧化运营管理。建设公共体育场地设施管理服务网络平台，加强资源整合、数据共享、互联互通，实现科学健身指导、国民体质监测、体育场地预定、经营服务统计、赛事信息发布、网络竞赛展示等功能，提高体育场地服务便利性和精准度。</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hint="eastAsia" w:ascii="黑体" w:hAnsi="黑体" w:eastAsia="黑体" w:cs="Times New Roman"/>
          <w:kern w:val="0"/>
          <w:sz w:val="32"/>
          <w:szCs w:val="32"/>
          <w:highlight w:val="none"/>
        </w:rPr>
      </w:pPr>
      <w:bookmarkStart w:id="22" w:name="_Toc70297258"/>
      <w:r>
        <w:rPr>
          <w:rFonts w:hint="eastAsia" w:ascii="黑体" w:hAnsi="黑体" w:eastAsia="黑体" w:cs="Times New Roman"/>
          <w:kern w:val="0"/>
          <w:sz w:val="32"/>
          <w:szCs w:val="32"/>
          <w:highlight w:val="none"/>
        </w:rPr>
        <w:t>五、</w:t>
      </w:r>
      <w:bookmarkEnd w:id="22"/>
      <w:r>
        <w:rPr>
          <w:rFonts w:hint="eastAsia" w:ascii="黑体" w:hAnsi="黑体" w:eastAsia="黑体" w:cs="Times New Roman"/>
          <w:kern w:val="0"/>
          <w:sz w:val="32"/>
          <w:szCs w:val="32"/>
          <w:highlight w:val="none"/>
        </w:rPr>
        <w:t>优化公共就业服务保障水平</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基于“十四五”时期区域产业结构调整和疫情影响复杂形势，针对劳动力人口分布新特点，不断完善和落实好各项就业扶持政策，提供更加精准便捷的就业创业服务。推动人力资源在数量、质量、结构和效能上与本区产业结构调整及经济社会发展需要相匹配，努力实现更充分更高质量就业。</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（一）千方百计稳定和扩大就业</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进一步完善区级促进就业政策体系，通过政策创新，引导企业稳定岗位、扩大就业，</w:t>
      </w:r>
      <w:r>
        <w:rPr>
          <w:rFonts w:hint="eastAsia" w:ascii="仿宋_GB2312" w:hAnsi="仿宋" w:eastAsia="仿宋_GB2312" w:cs="Times New Roman"/>
          <w:kern w:val="44"/>
          <w:sz w:val="32"/>
          <w:szCs w:val="32"/>
          <w:highlight w:val="none"/>
          <w:lang w:eastAsia="zh-CN"/>
        </w:rPr>
        <w:t>登记</w:t>
      </w:r>
      <w:r>
        <w:rPr>
          <w:rFonts w:hint="eastAsia" w:ascii="仿宋_GB2312" w:hAnsi="仿宋" w:eastAsia="仿宋_GB2312" w:cs="Times New Roman"/>
          <w:kern w:val="44"/>
          <w:sz w:val="32"/>
          <w:szCs w:val="32"/>
          <w:highlight w:val="none"/>
        </w:rPr>
        <w:t>失业率控制在</w:t>
      </w:r>
      <w:r>
        <w:rPr>
          <w:rFonts w:hint="eastAsia" w:ascii="仿宋_GB2312" w:hAnsi="仿宋" w:eastAsia="仿宋_GB2312" w:cs="Times New Roman"/>
          <w:kern w:val="44"/>
          <w:sz w:val="32"/>
          <w:szCs w:val="32"/>
          <w:highlight w:val="none"/>
          <w:lang w:val="en-US" w:eastAsia="zh-CN"/>
        </w:rPr>
        <w:t>3.</w:t>
      </w:r>
      <w:r>
        <w:rPr>
          <w:rFonts w:hint="eastAsia" w:ascii="仿宋_GB2312" w:hAnsi="仿宋" w:eastAsia="仿宋_GB2312" w:cs="Times New Roman"/>
          <w:kern w:val="44"/>
          <w:sz w:val="32"/>
          <w:szCs w:val="32"/>
          <w:highlight w:val="none"/>
        </w:rPr>
        <w:t>5%以内。加强就业失业监测预警，建立就业形势会商制度。加大城市基层公共服务岗位供给，积极开发公益性岗位，规范辅助岗位用工，提升大服务城市运行和社区基层治理的用工规模，设立退休人员社会化管理专员政策性岗位，解决社区就业服务工作人员不足的问题。</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（二）持续完善就业服务机制</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b w:val="0"/>
          <w:bCs w:val="0"/>
          <w:kern w:val="44"/>
          <w:sz w:val="32"/>
          <w:szCs w:val="32"/>
          <w:highlight w:val="none"/>
          <w:lang w:eastAsia="zh-CN"/>
        </w:rPr>
        <w:t>着重建立区内就业供求信息共享机制，</w:t>
      </w:r>
      <w:r>
        <w:rPr>
          <w:rFonts w:hint="eastAsia" w:ascii="仿宋_GB2312" w:hAnsi="仿宋" w:eastAsia="仿宋_GB2312" w:cs="Times New Roman"/>
          <w:kern w:val="44"/>
          <w:sz w:val="32"/>
          <w:szCs w:val="32"/>
          <w:highlight w:val="none"/>
        </w:rPr>
        <w:t>促进</w:t>
      </w:r>
      <w:r>
        <w:rPr>
          <w:rFonts w:hint="eastAsia" w:ascii="仿宋_GB2312" w:hAnsi="仿宋" w:eastAsia="仿宋_GB2312" w:cs="Times New Roman"/>
          <w:kern w:val="44"/>
          <w:sz w:val="32"/>
          <w:szCs w:val="32"/>
          <w:highlight w:val="none"/>
          <w:lang w:eastAsia="zh-CN"/>
        </w:rPr>
        <w:t>辖区</w:t>
      </w:r>
      <w:r>
        <w:rPr>
          <w:rFonts w:hint="eastAsia" w:ascii="仿宋_GB2312" w:hAnsi="仿宋" w:eastAsia="仿宋_GB2312" w:cs="Times New Roman"/>
          <w:kern w:val="44"/>
          <w:sz w:val="32"/>
          <w:szCs w:val="32"/>
          <w:highlight w:val="none"/>
        </w:rPr>
        <w:t>劳动力市场协调平衡发展。</w:t>
      </w:r>
      <w:r>
        <w:rPr>
          <w:rFonts w:hint="eastAsia" w:ascii="仿宋_GB2312" w:hAnsi="仿宋" w:eastAsia="仿宋_GB2312" w:cs="Times New Roman"/>
          <w:kern w:val="44"/>
          <w:sz w:val="32"/>
          <w:szCs w:val="32"/>
          <w:highlight w:val="none"/>
          <w:lang w:eastAsia="zh-CN"/>
        </w:rPr>
        <w:t>聚焦劳动者就业创业能力提升、提高企业职工稳定就业能力、强化高技能人才培养，推动劳动者通过职业技能培训实现更加充分和更高质量就业。</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（三）不断推进和谐劳动关系构建</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完善劳动关系协调机制，提高劳动关系风险矛盾调处能力，劳动保障监察投诉举报案件结案率98%以上。加强劳动关系的指导服务，针对受疫情影响较大的行业企业，制定完善防范化解应对方案，加强对劳动关系双方沟通协商及企业劳动用工的指导服务。稳慎处理重大集体劳动争议，防范区内发生系统性区域性劳动关系风险。创新仲裁办案方式，通过畅通“绿色通道”、简化优化处理流程等措施，提供“不见面”仲裁服务。加强针对劳务派遣企业监管，提高劳动关系工作信息化水平，提升劳动保障监察工作信息化水平。以中小微企业及其职工为重点，聚焦案件多发、频发的建筑工地、保安、餐饮、物流快递等重点领域及行业，加大对劳动关系领域的宣传指导和服务，开展多部门多层次联动宣传。</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hint="eastAsia" w:ascii="黑体" w:hAnsi="黑体" w:eastAsia="黑体" w:cs="Times New Roman"/>
          <w:kern w:val="0"/>
          <w:sz w:val="32"/>
          <w:szCs w:val="32"/>
          <w:highlight w:val="none"/>
        </w:rPr>
      </w:pPr>
      <w:bookmarkStart w:id="23" w:name="_Toc70297259"/>
      <w:r>
        <w:rPr>
          <w:rFonts w:hint="eastAsia" w:ascii="黑体" w:hAnsi="黑体" w:eastAsia="黑体" w:cs="Times New Roman"/>
          <w:kern w:val="0"/>
          <w:sz w:val="32"/>
          <w:szCs w:val="32"/>
          <w:highlight w:val="none"/>
        </w:rPr>
        <w:t>六、健全可持续的社会保障能力</w:t>
      </w:r>
      <w:bookmarkEnd w:id="23"/>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kern w:val="44"/>
          <w:sz w:val="32"/>
          <w:szCs w:val="32"/>
          <w:highlight w:val="none"/>
        </w:rPr>
      </w:pPr>
      <w:r>
        <w:rPr>
          <w:rFonts w:hint="eastAsia" w:ascii="仿宋_GB2312" w:hAnsi="仿宋" w:eastAsia="仿宋_GB2312" w:cs="Times New Roman"/>
          <w:kern w:val="44"/>
          <w:sz w:val="32"/>
          <w:szCs w:val="32"/>
          <w:highlight w:val="none"/>
        </w:rPr>
        <w:t>坚持底线思维，</w:t>
      </w:r>
      <w:r>
        <w:rPr>
          <w:rFonts w:hint="eastAsia" w:ascii="仿宋_GB2312" w:hAnsi="仿宋" w:eastAsia="仿宋_GB2312" w:cs="Times New Roman"/>
          <w:kern w:val="44"/>
          <w:sz w:val="32"/>
          <w:szCs w:val="32"/>
          <w:highlight w:val="none"/>
          <w:lang w:eastAsia="zh-CN"/>
        </w:rPr>
        <w:t>强化法律保障，增</w:t>
      </w:r>
      <w:r>
        <w:rPr>
          <w:rFonts w:hint="eastAsia" w:ascii="仿宋_GB2312" w:hAnsi="仿宋" w:eastAsia="仿宋_GB2312" w:cs="Times New Roman"/>
          <w:kern w:val="44"/>
          <w:sz w:val="32"/>
          <w:szCs w:val="32"/>
          <w:highlight w:val="none"/>
        </w:rPr>
        <w:t>进社会保险、社会救助和社会福利顺畅衔接，推动社会救助向可持续、综合扶助转变，实现社会福利覆盖范围更广、服务内容更丰富，形成全覆盖、保基本、多层次、更公平、可持续的社会保障体系。</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（一）继续推动社会保险优化改革</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仿宋_GB2312" w:hAnsi="仿宋" w:eastAsia="仿宋_GB2312" w:cs="Times New Roman"/>
          <w:color w:val="000000"/>
          <w:kern w:val="0"/>
          <w:sz w:val="32"/>
          <w:szCs w:val="32"/>
          <w:highlight w:val="none"/>
        </w:rPr>
        <w:t>积极应对深度人口老龄化下的养老、医疗保险新形势，不断优化财政社保资金的支出结构，提高资金使用效益。努力完善居民和个体从业人员参保政策，适当上调退休人员基本养老金，稳步推进基本养老保险制度改革，提高覆盖面。扩大失业保险保障范围，将参保不足1年的失业人员都纳入常住地保障，实现从制度全覆盖到实际人群全覆盖。扩大低保保障范围，实现西城区域内困难家庭应保尽保。深化社会保险制度改革，加强社保基金监管，不断改进经办机构服务水平。</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（二）建立健全</w:t>
      </w:r>
      <w:r>
        <w:rPr>
          <w:rFonts w:hint="eastAsia" w:ascii="楷体_GB2312" w:hAnsi="楷体_GB2312" w:eastAsia="楷体_GB2312" w:cs="楷体_GB2312"/>
          <w:b w:val="0"/>
          <w:bCs w:val="0"/>
          <w:sz w:val="32"/>
          <w:szCs w:val="32"/>
          <w:highlight w:val="none"/>
          <w:lang w:eastAsia="zh-CN"/>
        </w:rPr>
        <w:t>社会</w:t>
      </w:r>
      <w:r>
        <w:rPr>
          <w:rFonts w:hint="eastAsia" w:ascii="楷体_GB2312" w:hAnsi="楷体_GB2312" w:eastAsia="楷体_GB2312" w:cs="楷体_GB2312"/>
          <w:b w:val="0"/>
          <w:bCs w:val="0"/>
          <w:sz w:val="32"/>
          <w:szCs w:val="32"/>
          <w:highlight w:val="none"/>
        </w:rPr>
        <w:t>福利救助体系</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kern w:val="0"/>
          <w:sz w:val="32"/>
          <w:szCs w:val="32"/>
          <w:highlight w:val="none"/>
        </w:rPr>
      </w:pPr>
      <w:r>
        <w:rPr>
          <w:rFonts w:hint="eastAsia" w:ascii="仿宋_GB2312" w:hAnsi="仿宋" w:eastAsia="仿宋_GB2312" w:cs="Times New Roman"/>
          <w:color w:val="000000"/>
          <w:kern w:val="0"/>
          <w:sz w:val="32"/>
          <w:szCs w:val="32"/>
          <w:highlight w:val="none"/>
        </w:rPr>
        <w:t>健全社会救助体系，对确有困难的</w:t>
      </w:r>
      <w:r>
        <w:rPr>
          <w:rFonts w:hint="eastAsia" w:ascii="仿宋_GB2312" w:hAnsi="仿宋" w:eastAsia="仿宋_GB2312" w:cs="Times New Roman"/>
          <w:color w:val="000000"/>
          <w:kern w:val="0"/>
          <w:sz w:val="32"/>
          <w:szCs w:val="32"/>
          <w:highlight w:val="none"/>
          <w:lang w:eastAsia="zh-CN"/>
        </w:rPr>
        <w:t>低收入</w:t>
      </w:r>
      <w:r>
        <w:rPr>
          <w:rFonts w:hint="eastAsia" w:ascii="仿宋_GB2312" w:hAnsi="仿宋" w:eastAsia="仿宋_GB2312" w:cs="Times New Roman"/>
          <w:color w:val="000000"/>
          <w:kern w:val="0"/>
          <w:sz w:val="32"/>
          <w:szCs w:val="32"/>
          <w:highlight w:val="none"/>
        </w:rPr>
        <w:t>人员，实施分类重点救助，探索创新“资金+实物+服务+精神+机会+N”扶助模式，努力打造北京市社会救助改革示范区。建立健全以最低生活保障制度为基础的多元化、多层次的残疾人社会保障体系，到2025年残疾人</w:t>
      </w:r>
      <w:r>
        <w:rPr>
          <w:rFonts w:hint="eastAsia" w:ascii="仿宋_GB2312" w:hAnsi="仿宋" w:eastAsia="仿宋_GB2312" w:cs="Times New Roman"/>
          <w:color w:val="000000"/>
          <w:kern w:val="0"/>
          <w:sz w:val="32"/>
          <w:szCs w:val="32"/>
          <w:highlight w:val="none"/>
          <w:lang w:eastAsia="zh-CN"/>
        </w:rPr>
        <w:t>基本康复</w:t>
      </w:r>
      <w:r>
        <w:rPr>
          <w:rFonts w:hint="eastAsia" w:ascii="仿宋_GB2312" w:hAnsi="仿宋" w:eastAsia="仿宋_GB2312" w:cs="Times New Roman"/>
          <w:color w:val="000000"/>
          <w:kern w:val="0"/>
          <w:sz w:val="32"/>
          <w:szCs w:val="32"/>
          <w:highlight w:val="none"/>
        </w:rPr>
        <w:t>服务覆盖率达到</w:t>
      </w:r>
      <w:r>
        <w:rPr>
          <w:rFonts w:hint="eastAsia" w:ascii="仿宋_GB2312" w:hAnsi="仿宋" w:eastAsia="仿宋_GB2312" w:cs="Times New Roman"/>
          <w:color w:val="000000"/>
          <w:kern w:val="0"/>
          <w:sz w:val="32"/>
          <w:szCs w:val="32"/>
          <w:highlight w:val="none"/>
          <w:lang w:val="en-US" w:eastAsia="zh-CN"/>
        </w:rPr>
        <w:t>90</w:t>
      </w:r>
      <w:r>
        <w:rPr>
          <w:rFonts w:hint="eastAsia" w:ascii="仿宋_GB2312" w:hAnsi="仿宋" w:eastAsia="仿宋_GB2312" w:cs="Times New Roman"/>
          <w:color w:val="000000"/>
          <w:kern w:val="0"/>
          <w:sz w:val="32"/>
          <w:szCs w:val="32"/>
          <w:highlight w:val="none"/>
        </w:rPr>
        <w:t>%，适当扩大残疾人生活标准和社会保障范围，有效开展残疾人职业技能培训，开发残疾人就业的岗位，做好残疾人生活、教育、住房和其他社会救助。以社区为依托，建立社区支持网络，构建复合型服务照料网络。</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（三）持续完善</w:t>
      </w:r>
      <w:r>
        <w:rPr>
          <w:rFonts w:hint="eastAsia" w:ascii="楷体_GB2312" w:hAnsi="楷体_GB2312" w:eastAsia="楷体_GB2312" w:cs="楷体_GB2312"/>
          <w:b w:val="0"/>
          <w:bCs w:val="0"/>
          <w:sz w:val="32"/>
          <w:szCs w:val="32"/>
          <w:highlight w:val="none"/>
          <w:lang w:eastAsia="zh-CN"/>
        </w:rPr>
        <w:t>拥</w:t>
      </w:r>
      <w:r>
        <w:rPr>
          <w:rFonts w:hint="eastAsia" w:ascii="楷体_GB2312" w:hAnsi="楷体_GB2312" w:eastAsia="楷体_GB2312" w:cs="楷体_GB2312"/>
          <w:b w:val="0"/>
          <w:bCs w:val="0"/>
          <w:sz w:val="32"/>
          <w:szCs w:val="32"/>
          <w:highlight w:val="none"/>
        </w:rPr>
        <w:t>军优抚工作机制</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kern w:val="0"/>
          <w:sz w:val="32"/>
          <w:szCs w:val="32"/>
          <w:highlight w:val="none"/>
        </w:rPr>
      </w:pPr>
      <w:r>
        <w:rPr>
          <w:rFonts w:hint="eastAsia" w:ascii="仿宋_GB2312" w:hAnsi="仿宋" w:eastAsia="仿宋_GB2312" w:cs="Times New Roman"/>
          <w:color w:val="000000"/>
          <w:kern w:val="0"/>
          <w:sz w:val="32"/>
          <w:szCs w:val="32"/>
          <w:highlight w:val="none"/>
        </w:rPr>
        <w:t>完善补助标准自然增长机制，确保各类重点优抚对象抚恤补助标准按时自然增长，做到按时足额发放各项优待抚恤补助资金。建立优抚与各类惠民政策联动配套机制，有效地缓解优抚对象看病难问题，优先解决重点优抚对象的住房困难问题。完善军转地退人员就业机制，确保提供充足的安置岗位数量的同时提高安置岗位质量。放宽安置地限制并允许灵活就业，提升退役士兵就业创业能力，畅通信息渠道，加强就业创业前的培训工作。</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（四）</w:t>
      </w:r>
      <w:r>
        <w:rPr>
          <w:rFonts w:hint="eastAsia" w:ascii="楷体_GB2312" w:hAnsi="楷体_GB2312" w:eastAsia="楷体_GB2312" w:cs="楷体_GB2312"/>
          <w:b w:val="0"/>
          <w:bCs w:val="0"/>
          <w:sz w:val="32"/>
          <w:szCs w:val="32"/>
          <w:highlight w:val="none"/>
          <w:lang w:val="en-US" w:eastAsia="zh-CN"/>
        </w:rPr>
        <w:t>努力增进公共法律服务供给能力</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kern w:val="0"/>
          <w:sz w:val="32"/>
          <w:szCs w:val="32"/>
          <w:highlight w:val="none"/>
          <w:lang w:val="en-US" w:eastAsia="zh-CN"/>
        </w:rPr>
      </w:pPr>
      <w:r>
        <w:rPr>
          <w:rFonts w:hint="eastAsia" w:ascii="仿宋_GB2312" w:hAnsi="仿宋" w:eastAsia="仿宋_GB2312" w:cs="Times New Roman"/>
          <w:color w:val="000000"/>
          <w:kern w:val="0"/>
          <w:sz w:val="32"/>
          <w:szCs w:val="32"/>
          <w:highlight w:val="none"/>
          <w:lang w:val="en-US" w:eastAsia="zh-CN"/>
        </w:rPr>
        <w:t>深入推进公共法律服务精准化，优化提升公共法律服务“一站式”功能，完善公共法律服务中心（服务站）窗口设置，加大公共法律服务中心（服务站）接待人员公共法律服务专业技能培训，打通法律咨询、法律援助、人民调解、公证服务、司法鉴定等法律服务环节，实现“一窗受理、分类处理”。健全社会参与机制，通过抽调选派司法行政在编人员、政府购买服务、志愿服务等多种方式，充实法律工作力量。整合律师、公证员、司法鉴定人员、人民调解员、基层法律服务工作者等服务力量，切实提高法律服务专业化能力。</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（五）</w:t>
      </w:r>
      <w:r>
        <w:rPr>
          <w:rFonts w:hint="eastAsia" w:ascii="楷体_GB2312" w:hAnsi="楷体_GB2312" w:eastAsia="楷体_GB2312" w:cs="楷体_GB2312"/>
          <w:b w:val="0"/>
          <w:bCs w:val="0"/>
          <w:sz w:val="32"/>
          <w:szCs w:val="32"/>
          <w:highlight w:val="none"/>
        </w:rPr>
        <w:t>不断提升社会保障信息化</w:t>
      </w:r>
      <w:r>
        <w:rPr>
          <w:rFonts w:hint="eastAsia" w:ascii="楷体_GB2312" w:hAnsi="楷体_GB2312" w:eastAsia="楷体_GB2312" w:cs="楷体_GB2312"/>
          <w:b w:val="0"/>
          <w:bCs w:val="0"/>
          <w:sz w:val="32"/>
          <w:szCs w:val="32"/>
          <w:highlight w:val="none"/>
          <w:lang w:eastAsia="zh-CN"/>
        </w:rPr>
        <w:t>水平</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kern w:val="0"/>
          <w:sz w:val="32"/>
          <w:szCs w:val="32"/>
          <w:highlight w:val="none"/>
        </w:rPr>
      </w:pPr>
      <w:r>
        <w:rPr>
          <w:rFonts w:hint="eastAsia" w:ascii="仿宋_GB2312" w:hAnsi="仿宋" w:eastAsia="仿宋_GB2312" w:cs="Times New Roman"/>
          <w:color w:val="000000"/>
          <w:kern w:val="0"/>
          <w:sz w:val="32"/>
          <w:szCs w:val="32"/>
          <w:highlight w:val="none"/>
        </w:rPr>
        <w:t>促进信息化与社会保障工作深度融合，</w:t>
      </w:r>
      <w:r>
        <w:rPr>
          <w:rFonts w:hint="eastAsia" w:ascii="仿宋_GB2312" w:hAnsi="仿宋" w:eastAsia="仿宋_GB2312" w:cs="Times New Roman"/>
          <w:color w:val="000000"/>
          <w:kern w:val="0"/>
          <w:sz w:val="32"/>
          <w:szCs w:val="32"/>
          <w:highlight w:val="none"/>
          <w:lang w:eastAsia="zh-CN"/>
        </w:rPr>
        <w:t>实现</w:t>
      </w:r>
      <w:r>
        <w:rPr>
          <w:rFonts w:hint="eastAsia" w:ascii="仿宋_GB2312" w:hAnsi="仿宋" w:eastAsia="仿宋_GB2312" w:cs="Times New Roman"/>
          <w:color w:val="000000"/>
          <w:kern w:val="0"/>
          <w:sz w:val="32"/>
          <w:szCs w:val="32"/>
          <w:highlight w:val="none"/>
        </w:rPr>
        <w:t>部门信息资源共享，提升社会保障服务效率。按照“一号申请、一窗受理、一网通办、一卡通用”的公共服务模式加快建设线上社保服务平台，转变以往“信息孤岛”状态，打破数据壁垒，为西城区居民提供社保年度参保信息查询、养老金测算、社保关系转移查询、异地就医查询、社保卡和电子社保卡状态查询等服务，并在后期提供更多的一网通办事项目。鼓励各街道结合本地实际，打造升级集求助、救助和捐赠信息于一体的区域性慈善信息平台</w:t>
      </w:r>
      <w:bookmarkStart w:id="24" w:name="_Toc40141362"/>
      <w:r>
        <w:rPr>
          <w:rFonts w:hint="eastAsia" w:ascii="仿宋_GB2312" w:hAnsi="仿宋" w:eastAsia="仿宋_GB2312" w:cs="Times New Roman"/>
          <w:color w:val="000000"/>
          <w:kern w:val="0"/>
          <w:sz w:val="32"/>
          <w:szCs w:val="32"/>
          <w:highlight w:val="none"/>
        </w:rPr>
        <w:t>，推动慈善事业的透明化、规范化发展。</w:t>
      </w:r>
      <w:bookmarkEnd w:id="24"/>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hint="eastAsia" w:ascii="黑体" w:hAnsi="黑体" w:eastAsia="黑体" w:cs="Times New Roman"/>
          <w:kern w:val="0"/>
          <w:sz w:val="32"/>
          <w:szCs w:val="32"/>
          <w:highlight w:val="none"/>
          <w:lang w:eastAsia="zh-CN"/>
        </w:rPr>
      </w:pPr>
      <w:bookmarkStart w:id="25" w:name="_Toc70297260"/>
      <w:r>
        <w:rPr>
          <w:rFonts w:hint="eastAsia" w:ascii="黑体" w:hAnsi="黑体" w:eastAsia="黑体" w:cs="Times New Roman"/>
          <w:kern w:val="0"/>
          <w:sz w:val="32"/>
          <w:szCs w:val="32"/>
          <w:highlight w:val="none"/>
        </w:rPr>
        <w:t>七、</w:t>
      </w:r>
      <w:bookmarkEnd w:id="25"/>
      <w:r>
        <w:rPr>
          <w:rFonts w:hint="eastAsia" w:ascii="黑体" w:hAnsi="黑体" w:eastAsia="黑体" w:cs="Times New Roman"/>
          <w:kern w:val="0"/>
          <w:sz w:val="32"/>
          <w:szCs w:val="32"/>
          <w:highlight w:val="none"/>
          <w:lang w:eastAsia="zh-CN"/>
        </w:rPr>
        <w:t>提高</w:t>
      </w:r>
      <w:r>
        <w:rPr>
          <w:rFonts w:hint="eastAsia" w:ascii="黑体" w:hAnsi="黑体" w:eastAsia="黑体" w:cs="Times New Roman"/>
          <w:kern w:val="0"/>
          <w:sz w:val="32"/>
          <w:szCs w:val="32"/>
          <w:highlight w:val="none"/>
        </w:rPr>
        <w:t>养老育幼服务</w:t>
      </w:r>
      <w:r>
        <w:rPr>
          <w:rFonts w:hint="eastAsia" w:ascii="黑体" w:hAnsi="黑体" w:eastAsia="黑体" w:cs="Times New Roman"/>
          <w:kern w:val="0"/>
          <w:sz w:val="32"/>
          <w:szCs w:val="32"/>
          <w:highlight w:val="none"/>
          <w:lang w:eastAsia="zh-CN"/>
        </w:rPr>
        <w:t>发展质量</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落实人口长期均衡发展战略，</w:t>
      </w:r>
      <w:r>
        <w:rPr>
          <w:rFonts w:hint="eastAsia" w:ascii="仿宋_GB2312" w:hAnsi="仿宋" w:eastAsia="仿宋_GB2312" w:cs="Times New Roman"/>
          <w:sz w:val="32"/>
          <w:szCs w:val="32"/>
          <w:highlight w:val="none"/>
          <w:lang w:eastAsia="zh-CN"/>
        </w:rPr>
        <w:t>积极应对人口老龄化国家战略，</w:t>
      </w:r>
      <w:r>
        <w:rPr>
          <w:rFonts w:hint="eastAsia" w:ascii="仿宋_GB2312" w:hAnsi="仿宋" w:eastAsia="仿宋_GB2312" w:cs="Times New Roman"/>
          <w:sz w:val="32"/>
          <w:szCs w:val="32"/>
          <w:highlight w:val="none"/>
        </w:rPr>
        <w:t>满足“一老一小”就近服务需求，</w:t>
      </w:r>
      <w:r>
        <w:rPr>
          <w:rFonts w:hint="eastAsia" w:ascii="仿宋_GB2312" w:hAnsi="仿宋" w:eastAsia="仿宋_GB2312" w:cs="Times New Roman"/>
          <w:sz w:val="32"/>
          <w:szCs w:val="32"/>
          <w:highlight w:val="none"/>
          <w:lang w:eastAsia="zh-CN"/>
        </w:rPr>
        <w:t>加大制度创新、政策供给，</w:t>
      </w:r>
      <w:r>
        <w:rPr>
          <w:rFonts w:hint="eastAsia" w:ascii="仿宋_GB2312" w:hAnsi="仿宋" w:eastAsia="仿宋_GB2312" w:cs="Times New Roman"/>
          <w:sz w:val="32"/>
          <w:szCs w:val="32"/>
          <w:highlight w:val="none"/>
        </w:rPr>
        <w:t>加快建设新型养老服务体系，打造普惠性托育服务体系，</w:t>
      </w:r>
      <w:r>
        <w:rPr>
          <w:rFonts w:hint="eastAsia" w:ascii="仿宋_GB2312" w:hAnsi="仿宋" w:eastAsia="仿宋_GB2312" w:cs="Times New Roman"/>
          <w:sz w:val="32"/>
          <w:szCs w:val="32"/>
          <w:highlight w:val="none"/>
          <w:lang w:eastAsia="zh-CN"/>
        </w:rPr>
        <w:t>积极推动建设儿童友好城区，真正实现老有颐养、</w:t>
      </w:r>
      <w:r>
        <w:rPr>
          <w:rFonts w:hint="eastAsia" w:ascii="仿宋_GB2312" w:hAnsi="仿宋" w:eastAsia="仿宋_GB2312" w:cs="Times New Roman"/>
          <w:sz w:val="32"/>
          <w:szCs w:val="32"/>
          <w:highlight w:val="none"/>
        </w:rPr>
        <w:t>幼有善育。</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（一）完善以居家为主的养老服务供给体系</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构建“三边三级”的居家养老服务供给机制，通过区级指导、街道统筹、社区落实的三级居家养老服务网络，实现老年人在其周边、身边和床边就近享受居家养老服务。大力增补居家为老服务床位，制定配置标准与配套政策，到2025年每千人拥有养老床位数不低于7张。建立“物业+养老服务”“互联网+养老服务”等新型服务模式，支持养老机构运营社区养老服务设施，支持物业服务企业开展老年供餐、定期巡访等养老服务。形成长期护理保险制度，构建居家社区机构相衔接的专业化长期照护服务体系。建立高质量养老护理员和志愿者队伍，开展针对护理员的养老照护、应急救护知识和技能培训，护理员持证上岗率100%。</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（二）提升复合型养老福利设施建设水平</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ascii="仿宋_GB2312" w:hAnsi="仿宋" w:eastAsia="仿宋_GB2312" w:cs="Times New Roman"/>
          <w:bCs/>
          <w:sz w:val="32"/>
          <w:szCs w:val="32"/>
          <w:highlight w:val="none"/>
        </w:rPr>
      </w:pPr>
      <w:r>
        <w:rPr>
          <w:rFonts w:hint="eastAsia" w:ascii="仿宋_GB2312" w:hAnsi="仿宋" w:eastAsia="仿宋_GB2312" w:cs="Times New Roman"/>
          <w:sz w:val="32"/>
          <w:szCs w:val="32"/>
          <w:highlight w:val="none"/>
        </w:rPr>
        <w:t>着眼于“老、残、儿”服务设施一体化，推动具有养老功能的复合型福利设施建设，形成规范完备的复合型福利设施管理制度。有效提升养老设施均衡化布局，积极推进养老照料中心等养老照料中心和社区养老驿站建设，到“十四五”末期基本实现社区养老</w:t>
      </w:r>
      <w:r>
        <w:rPr>
          <w:rFonts w:hint="eastAsia" w:ascii="仿宋_GB2312" w:hAnsi="仿宋" w:eastAsia="仿宋_GB2312" w:cs="Times New Roman"/>
          <w:sz w:val="32"/>
          <w:szCs w:val="32"/>
          <w:highlight w:val="none"/>
          <w:lang w:eastAsia="zh-CN"/>
        </w:rPr>
        <w:t>服务</w:t>
      </w:r>
      <w:r>
        <w:rPr>
          <w:rFonts w:hint="eastAsia" w:ascii="仿宋_GB2312" w:hAnsi="仿宋" w:eastAsia="仿宋_GB2312" w:cs="Times New Roman"/>
          <w:sz w:val="32"/>
          <w:szCs w:val="32"/>
          <w:highlight w:val="none"/>
        </w:rPr>
        <w:t>10分钟可达。积极引导社会资本投资养老设施建设，着力培养龙头养老服务企业，支持养老机构规模化、连锁化、综合化、品牌化发展。</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（三）深入推进医养康养有机结合</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充分整合医疗资源和养老资源，促进医疗卫生机构和养老机构合作，鼓励医护人员到医养结合机构执业，鼓励社区卫生服务人员参与养老照料中心、养老驿站签约老年健康管理工作，支持家庭医生出诊为老年人服务。完善老年群体全生命周期健康管理机制，开展老年就医优待、健康体检、老年病筛查、慢病干预、照护服务、康复护理、安宁关怀等服务，形成生活照料和医疗照护相结合的机制。广泛开展体质健康测评、慢病运动干预管理等医养结合项目，推动利用率不高的医疗资源转型为专业老年护理设施。</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（四）积极推动儿童友好城区建设</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sz w:val="32"/>
          <w:szCs w:val="32"/>
          <w:highlight w:val="none"/>
          <w:lang w:eastAsia="zh-CN"/>
        </w:rPr>
      </w:pPr>
      <w:r>
        <w:rPr>
          <w:rFonts w:hint="eastAsia" w:ascii="仿宋_GB2312" w:hAnsi="仿宋" w:eastAsia="仿宋_GB2312" w:cs="Times New Roman"/>
          <w:sz w:val="32"/>
          <w:szCs w:val="32"/>
          <w:highlight w:val="none"/>
        </w:rPr>
        <w:t>推动全社会践行儿童友好理念</w:t>
      </w:r>
      <w:r>
        <w:rPr>
          <w:rFonts w:hint="eastAsia" w:ascii="仿宋_GB2312" w:hAnsi="仿宋" w:eastAsia="仿宋_GB2312" w:cs="Times New Roman"/>
          <w:sz w:val="32"/>
          <w:szCs w:val="32"/>
          <w:highlight w:val="none"/>
          <w:lang w:eastAsia="zh-CN"/>
        </w:rPr>
        <w:t>，推进公共资源配置优先满足儿童需要，利用区内棚改项目建设区级、街道级儿童活动中心。合理规划文体设施布局和功能，实现图书馆、文化馆等向儿童免费开放，组织面向儿童的阅读推广、文艺演出、展览游览等活动。加强儿童体质监测，丰富儿童体育赛事活动。</w:t>
      </w:r>
      <w:r>
        <w:rPr>
          <w:rFonts w:hint="eastAsia" w:ascii="仿宋_GB2312" w:hAnsi="仿宋" w:eastAsia="仿宋_GB2312" w:cs="Times New Roman"/>
          <w:color w:val="000000"/>
          <w:kern w:val="0"/>
          <w:sz w:val="32"/>
          <w:szCs w:val="32"/>
          <w:highlight w:val="none"/>
        </w:rPr>
        <w:t>持续</w:t>
      </w:r>
      <w:r>
        <w:rPr>
          <w:rFonts w:hint="eastAsia" w:ascii="仿宋_GB2312" w:hAnsi="仿宋" w:eastAsia="仿宋_GB2312" w:cs="Times New Roman"/>
          <w:color w:val="000000"/>
          <w:kern w:val="0"/>
          <w:sz w:val="32"/>
          <w:szCs w:val="32"/>
          <w:highlight w:val="none"/>
          <w:lang w:eastAsia="zh-CN"/>
        </w:rPr>
        <w:t>发展</w:t>
      </w:r>
      <w:r>
        <w:rPr>
          <w:rFonts w:hint="eastAsia" w:ascii="仿宋_GB2312" w:hAnsi="仿宋" w:eastAsia="仿宋_GB2312" w:cs="Times New Roman"/>
          <w:color w:val="000000"/>
          <w:kern w:val="0"/>
          <w:sz w:val="32"/>
          <w:szCs w:val="32"/>
          <w:highlight w:val="none"/>
        </w:rPr>
        <w:t>儿童福利事业，统筹规划建设区属儿童福利机构。关注身心缺陷儿童的特殊需求，实施残障儿童15年免费特殊教育。加强学校、医院、公园、公共图书馆、体育场所等各类服务设施和场地适儿化改造。</w:t>
      </w:r>
      <w:r>
        <w:rPr>
          <w:rFonts w:hint="eastAsia" w:ascii="仿宋_GB2312" w:hAnsi="仿宋" w:eastAsia="仿宋_GB2312" w:cs="Times New Roman"/>
          <w:color w:val="000000"/>
          <w:kern w:val="0"/>
          <w:sz w:val="32"/>
          <w:szCs w:val="32"/>
          <w:highlight w:val="none"/>
          <w:lang w:eastAsia="zh-CN"/>
        </w:rPr>
        <w:t>逐步</w:t>
      </w:r>
      <w:r>
        <w:rPr>
          <w:rFonts w:hint="eastAsia" w:ascii="仿宋_GB2312" w:hAnsi="仿宋" w:eastAsia="仿宋_GB2312" w:cs="Times New Roman"/>
          <w:color w:val="000000"/>
          <w:kern w:val="0"/>
          <w:sz w:val="32"/>
          <w:szCs w:val="32"/>
          <w:highlight w:val="none"/>
        </w:rPr>
        <w:t>建设适合儿童的服务设施和标识标牌系统，推动公共场所建设母婴室、儿童厕位及儿童休息活动区等</w:t>
      </w:r>
      <w:r>
        <w:rPr>
          <w:rFonts w:hint="eastAsia" w:ascii="仿宋_GB2312" w:hAnsi="仿宋" w:eastAsia="仿宋_GB2312" w:cs="Times New Roman"/>
          <w:color w:val="000000"/>
          <w:kern w:val="0"/>
          <w:sz w:val="32"/>
          <w:szCs w:val="32"/>
          <w:highlight w:val="none"/>
          <w:lang w:eastAsia="zh-CN"/>
        </w:rPr>
        <w:t>，充分满足儿童成长发展需要</w:t>
      </w:r>
      <w:r>
        <w:rPr>
          <w:rFonts w:hint="eastAsia" w:ascii="仿宋_GB2312" w:hAnsi="仿宋" w:eastAsia="仿宋_GB2312" w:cs="Times New Roman"/>
          <w:color w:val="000000"/>
          <w:kern w:val="0"/>
          <w:sz w:val="32"/>
          <w:szCs w:val="32"/>
          <w:highlight w:val="none"/>
        </w:rPr>
        <w:t>。</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eastAsia="zh-CN"/>
        </w:rPr>
        <w:t>五</w:t>
      </w:r>
      <w:r>
        <w:rPr>
          <w:rFonts w:hint="eastAsia" w:ascii="楷体_GB2312" w:hAnsi="楷体_GB2312" w:eastAsia="楷体_GB2312" w:cs="楷体_GB2312"/>
          <w:b w:val="0"/>
          <w:bCs w:val="0"/>
          <w:sz w:val="32"/>
          <w:szCs w:val="32"/>
          <w:highlight w:val="none"/>
        </w:rPr>
        <w:t>）大力发展普惠托育服务体系</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黑体" w:hAnsi="黑体" w:eastAsia="黑体" w:cs="Times New Roman"/>
          <w:kern w:val="0"/>
          <w:sz w:val="32"/>
          <w:szCs w:val="32"/>
          <w:highlight w:val="none"/>
        </w:rPr>
      </w:pPr>
      <w:r>
        <w:rPr>
          <w:rFonts w:hint="eastAsia" w:ascii="仿宋_GB2312" w:hAnsi="仿宋" w:eastAsia="仿宋_GB2312" w:cs="Times New Roman"/>
          <w:sz w:val="32"/>
          <w:szCs w:val="32"/>
          <w:highlight w:val="none"/>
        </w:rPr>
        <w:t>完善家庭为主的婴幼儿照护机制，鼓励用人单位采取更加灵活的方式和措施，为婴幼儿家庭照护创造便利条件。建成一批承担一定指导功能的示范性托育服务机构，提供托育从业人员培训、托育机构管理咨询、家庭养育指导和社区亲子服务等服务。鼓励有条件的幼儿园开设托班，支持和引导社会力量新建、改建、扩建一批嵌入式、分布式、连锁化、专业化的社区婴幼儿照护服务设施，提供全日托、半日托、计时托、临时托等多样化的普惠托育服务。鼓励托育服务设施与社区服务中心（站）及社区文化、体育、养老等设施共建共享。</w:t>
      </w:r>
      <w:bookmarkStart w:id="26" w:name="_Toc70297261"/>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hint="eastAsia" w:ascii="黑体" w:hAnsi="黑体" w:eastAsia="黑体" w:cs="Times New Roman"/>
          <w:kern w:val="0"/>
          <w:sz w:val="32"/>
          <w:szCs w:val="32"/>
          <w:highlight w:val="none"/>
        </w:rPr>
      </w:pPr>
      <w:r>
        <w:rPr>
          <w:rFonts w:hint="eastAsia" w:ascii="黑体" w:hAnsi="黑体" w:eastAsia="黑体" w:cs="Times New Roman"/>
          <w:kern w:val="0"/>
          <w:sz w:val="32"/>
          <w:szCs w:val="32"/>
          <w:highlight w:val="none"/>
        </w:rPr>
        <w:t>八、</w:t>
      </w:r>
      <w:bookmarkEnd w:id="26"/>
      <w:r>
        <w:rPr>
          <w:rFonts w:hint="eastAsia" w:ascii="黑体" w:hAnsi="黑体" w:eastAsia="黑体" w:cs="Times New Roman"/>
          <w:kern w:val="0"/>
          <w:sz w:val="32"/>
          <w:szCs w:val="32"/>
          <w:highlight w:val="none"/>
        </w:rPr>
        <w:t>提升基本住房保障服务能力</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kern w:val="44"/>
          <w:sz w:val="32"/>
          <w:szCs w:val="32"/>
          <w:highlight w:val="none"/>
        </w:rPr>
      </w:pPr>
      <w:r>
        <w:rPr>
          <w:rFonts w:hint="eastAsia" w:ascii="仿宋_GB2312" w:hAnsi="仿宋" w:eastAsia="仿宋_GB2312" w:cs="Times New Roman"/>
          <w:color w:val="000000"/>
          <w:kern w:val="44"/>
          <w:sz w:val="32"/>
          <w:szCs w:val="32"/>
          <w:highlight w:val="none"/>
        </w:rPr>
        <w:t>聚焦人民居住品质改善新期许，结合老城保护和城市更新新要求，优化老旧小区综合整治实施机制与路径，加大保障性住房补贴支持力度，稳步提升中低收入住房困难群体居住条件，逐步建立城市中低收入家庭的住房保障机制，真正实现住有</w:t>
      </w:r>
      <w:r>
        <w:rPr>
          <w:rFonts w:hint="eastAsia" w:ascii="仿宋_GB2312" w:hAnsi="仿宋" w:eastAsia="仿宋_GB2312" w:cs="Times New Roman"/>
          <w:color w:val="000000"/>
          <w:kern w:val="44"/>
          <w:sz w:val="32"/>
          <w:szCs w:val="32"/>
          <w:highlight w:val="none"/>
          <w:lang w:eastAsia="zh-CN"/>
        </w:rPr>
        <w:t>宜</w:t>
      </w:r>
      <w:r>
        <w:rPr>
          <w:rFonts w:hint="eastAsia" w:ascii="仿宋_GB2312" w:hAnsi="仿宋" w:eastAsia="仿宋_GB2312" w:cs="Times New Roman"/>
          <w:color w:val="000000"/>
          <w:kern w:val="44"/>
          <w:sz w:val="32"/>
          <w:szCs w:val="32"/>
          <w:highlight w:val="none"/>
        </w:rPr>
        <w:t>居。</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（一）完善住房困难家庭保障机制</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kern w:val="44"/>
          <w:sz w:val="32"/>
          <w:szCs w:val="32"/>
          <w:highlight w:val="none"/>
        </w:rPr>
      </w:pPr>
      <w:r>
        <w:rPr>
          <w:rFonts w:hint="eastAsia" w:ascii="仿宋_GB2312" w:hAnsi="仿宋" w:eastAsia="仿宋_GB2312" w:cs="Times New Roman"/>
          <w:color w:val="000000"/>
          <w:kern w:val="44"/>
          <w:sz w:val="32"/>
          <w:szCs w:val="32"/>
          <w:highlight w:val="none"/>
        </w:rPr>
        <w:t>加强保障房房源筹集建设，通过新建、改建、收购、长期租赁等方式筹集公共租赁住房和共有产权房房源，增强保障性住房供给能力。动态调整保障房准入标准，切实解决“夹心层”家庭、老年家庭和新职工住房困难。完善公共租赁住房租金及补贴动态调整机制，</w:t>
      </w:r>
      <w:r>
        <w:rPr>
          <w:rFonts w:hint="eastAsia" w:ascii="仿宋_GB2312" w:hAnsi="仿宋" w:eastAsia="仿宋_GB2312" w:cs="Times New Roman"/>
          <w:color w:val="000000"/>
          <w:kern w:val="44"/>
          <w:sz w:val="32"/>
          <w:szCs w:val="32"/>
          <w:highlight w:val="none"/>
          <w:lang w:eastAsia="zh-CN"/>
        </w:rPr>
        <w:t>加大宣传市场租房补贴政策。</w:t>
      </w:r>
      <w:r>
        <w:rPr>
          <w:rFonts w:hint="eastAsia" w:ascii="仿宋_GB2312" w:hAnsi="仿宋" w:eastAsia="仿宋_GB2312" w:cs="Times New Roman"/>
          <w:color w:val="000000"/>
          <w:kern w:val="44"/>
          <w:sz w:val="32"/>
          <w:szCs w:val="32"/>
          <w:highlight w:val="none"/>
        </w:rPr>
        <w:t>完善保障性住房后期管理机制，确保被保障家庭各项社会服务及时全面落实。</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（二）统筹保障专业人才居住需求</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kern w:val="44"/>
          <w:sz w:val="32"/>
          <w:szCs w:val="32"/>
          <w:highlight w:val="none"/>
        </w:rPr>
      </w:pPr>
      <w:r>
        <w:rPr>
          <w:rFonts w:hint="eastAsia" w:ascii="仿宋_GB2312" w:hAnsi="仿宋" w:eastAsia="仿宋_GB2312" w:cs="Times New Roman"/>
          <w:color w:val="000000"/>
          <w:kern w:val="44"/>
          <w:sz w:val="32"/>
          <w:szCs w:val="32"/>
          <w:highlight w:val="none"/>
        </w:rPr>
        <w:t>注重住房保障政策向专业人才倾斜，以配租公共租赁住房为主，配售共有产权住房、发放人才租房补贴为辅，按照尽力而为、量力而行的原则，妥善处理符合首都功能核心区定位的专业人才住房需求。加强保障性住房的租金管理、运营管理和监督管理，对房源、设备设施状态及时巡查，确保公共租赁住房合规使用。不断优化保障性住房的配套设施，加强区域公共服务建设，保障生活品质。</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（三）推动疏解腾退与住房保障相结合</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kern w:val="44"/>
          <w:sz w:val="32"/>
          <w:szCs w:val="32"/>
          <w:highlight w:val="none"/>
        </w:rPr>
      </w:pPr>
      <w:r>
        <w:rPr>
          <w:rFonts w:hint="eastAsia" w:ascii="仿宋_GB2312" w:hAnsi="仿宋" w:eastAsia="仿宋_GB2312" w:cs="Times New Roman"/>
          <w:color w:val="000000"/>
          <w:kern w:val="44"/>
          <w:sz w:val="32"/>
          <w:szCs w:val="32"/>
          <w:highlight w:val="none"/>
        </w:rPr>
        <w:t>积极扩大“申请式退租”试点范围，统筹考虑拟进行“申请式退租”地块的历史文化、租户构成、周边市场租金标准等多重因素制定“申请式退租”方案，争取优质房源优先向核心区“申请式退租”家庭倾斜。直管公房腾退后依据北京历史文化街区风貌保护与更新设计导则和老城房屋修缮技术导则开展恢复性修建。推进平房腾退房屋后期利用，探索改善平房区人居环境的路径方法，推进建筑共生、居民共生、文化共生的“共生院”模式，适当引入新文化、新居民，在实现老城保护的同时进一步促进职住平衡、促进城市更新。</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（四）持续推进“老旧小区综合整治计划”</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黑体" w:hAnsi="黑体" w:eastAsia="黑体" w:cs="Times New Roman"/>
          <w:kern w:val="0"/>
          <w:sz w:val="32"/>
          <w:szCs w:val="32"/>
          <w:highlight w:val="none"/>
        </w:rPr>
      </w:pPr>
      <w:r>
        <w:rPr>
          <w:rFonts w:hint="eastAsia" w:ascii="仿宋_GB2312" w:hAnsi="仿宋" w:eastAsia="仿宋_GB2312" w:cs="Times New Roman"/>
          <w:color w:val="000000"/>
          <w:kern w:val="44"/>
          <w:sz w:val="32"/>
          <w:szCs w:val="32"/>
          <w:highlight w:val="none"/>
        </w:rPr>
        <w:t>有序推进简易楼、筒子楼等危旧住宅的安全排查、整治修缮、腾退拆除与改造更新，积极开展外墙保温、上下水管线等专项整治。统筹实施老旧小区服务设施短板补足，加大规划土地、立项、管线改造、财政等政策创新力度，大力提升住宅品质与环境质量。探索建立公众参与老旧小区改造新机制，通过民生工程民意立项，集中解决公众普遍关切的重点难点问题。着力破解老旧小区物业管理难题，提升业委会（物管会）组建率、物业服务覆盖率、党的组织和工作覆盖率，到 2025 年实现物业服务覆盖率100%。</w:t>
      </w:r>
      <w:bookmarkStart w:id="27" w:name="_Toc70297262"/>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hint="eastAsia" w:ascii="黑体" w:hAnsi="黑体" w:eastAsia="黑体" w:cs="Times New Roman"/>
          <w:kern w:val="0"/>
          <w:sz w:val="32"/>
          <w:szCs w:val="32"/>
          <w:highlight w:val="none"/>
        </w:rPr>
      </w:pPr>
      <w:r>
        <w:rPr>
          <w:rFonts w:hint="eastAsia" w:ascii="黑体" w:hAnsi="黑体" w:eastAsia="黑体" w:cs="Times New Roman"/>
          <w:kern w:val="0"/>
          <w:sz w:val="32"/>
          <w:szCs w:val="32"/>
          <w:highlight w:val="none"/>
        </w:rPr>
        <w:t>九、</w:t>
      </w:r>
      <w:bookmarkEnd w:id="27"/>
      <w:r>
        <w:rPr>
          <w:rFonts w:hint="eastAsia" w:ascii="黑体" w:hAnsi="黑体" w:eastAsia="黑体" w:cs="Times New Roman"/>
          <w:kern w:val="0"/>
          <w:sz w:val="32"/>
          <w:szCs w:val="32"/>
          <w:highlight w:val="none"/>
        </w:rPr>
        <w:t>促进高品质生活便利服务供给</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kern w:val="44"/>
          <w:sz w:val="32"/>
          <w:szCs w:val="32"/>
          <w:highlight w:val="none"/>
        </w:rPr>
      </w:pPr>
      <w:r>
        <w:rPr>
          <w:rFonts w:hint="eastAsia" w:ascii="仿宋_GB2312" w:hAnsi="仿宋" w:eastAsia="仿宋_GB2312" w:cs="Times New Roman"/>
          <w:color w:val="000000"/>
          <w:kern w:val="44"/>
          <w:sz w:val="32"/>
          <w:szCs w:val="32"/>
          <w:highlight w:val="none"/>
        </w:rPr>
        <w:t>着眼新发展阶段人口规模、居民需求的新变化和新特点，以社区为规划实施单元，优化生活性服务网点布局，持续完善社区便民服务网络和运行机制，为居民群众提供多元化、精细化、个性化、智能化的生活服务。</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bookmarkStart w:id="28" w:name="_Toc54608197"/>
      <w:bookmarkStart w:id="29" w:name="_Toc56123441"/>
      <w:bookmarkStart w:id="30" w:name="_Toc54608624"/>
      <w:r>
        <w:rPr>
          <w:rFonts w:hint="eastAsia" w:ascii="楷体_GB2312" w:hAnsi="楷体_GB2312" w:eastAsia="楷体_GB2312" w:cs="楷体_GB2312"/>
          <w:b w:val="0"/>
          <w:bCs w:val="0"/>
          <w:sz w:val="32"/>
          <w:szCs w:val="32"/>
          <w:highlight w:val="none"/>
        </w:rPr>
        <w:t>（一）推进便民商业服务网点建设</w:t>
      </w:r>
      <w:bookmarkEnd w:id="28"/>
      <w:bookmarkEnd w:id="29"/>
      <w:bookmarkEnd w:id="30"/>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kern w:val="44"/>
          <w:sz w:val="32"/>
          <w:szCs w:val="32"/>
          <w:highlight w:val="none"/>
        </w:rPr>
      </w:pPr>
      <w:r>
        <w:rPr>
          <w:rFonts w:hint="eastAsia" w:ascii="仿宋_GB2312" w:hAnsi="仿宋" w:eastAsia="仿宋_GB2312" w:cs="Times New Roman"/>
          <w:color w:val="000000"/>
          <w:kern w:val="44"/>
          <w:sz w:val="32"/>
          <w:szCs w:val="32"/>
          <w:highlight w:val="none"/>
        </w:rPr>
        <w:t>多渠道突破便民商业服务资源瓶颈。利用腾退空间、闲置厂房打造便民生活中心，支持中小型便民服务综合体升级改造，协调推进国有房屋优先用于便民商业服务，推动驻区单位进一步开放共享资源。优化平房区社区生活设施布局，遵循“十五分钟生活圈”标准和“大分区、小混合”原则，通过地区合作共享、行业跨界合作、服务功能搭载等方式，依托“家园生活带”串联宜居组团。实行生活性服务业网点“临时性备案”机制，推动产权、规划用途与现实服务需求不符的网点按照市级相关政策获得证照办理支持，充分满足居民实际需求，打造社区美好生活圈。</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bookmarkStart w:id="31" w:name="_Toc54608625"/>
      <w:bookmarkStart w:id="32" w:name="_Toc56123442"/>
      <w:bookmarkStart w:id="33" w:name="_Toc54608198"/>
      <w:r>
        <w:rPr>
          <w:rFonts w:hint="eastAsia" w:ascii="楷体_GB2312" w:hAnsi="楷体_GB2312" w:eastAsia="楷体_GB2312" w:cs="楷体_GB2312"/>
          <w:b w:val="0"/>
          <w:bCs w:val="0"/>
          <w:sz w:val="32"/>
          <w:szCs w:val="32"/>
          <w:highlight w:val="none"/>
        </w:rPr>
        <w:t>（二）完善停车位、充电桩等服务设施布局</w:t>
      </w:r>
      <w:bookmarkEnd w:id="31"/>
      <w:bookmarkEnd w:id="32"/>
      <w:bookmarkEnd w:id="33"/>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kern w:val="44"/>
          <w:sz w:val="32"/>
          <w:szCs w:val="32"/>
          <w:highlight w:val="none"/>
        </w:rPr>
      </w:pPr>
      <w:r>
        <w:rPr>
          <w:rFonts w:hint="eastAsia" w:ascii="仿宋_GB2312" w:hAnsi="仿宋" w:eastAsia="仿宋_GB2312" w:cs="Times New Roman"/>
          <w:color w:val="000000"/>
          <w:kern w:val="44"/>
          <w:sz w:val="32"/>
          <w:szCs w:val="32"/>
          <w:highlight w:val="none"/>
        </w:rPr>
        <w:t>重点攻克老旧小区停车难题，鼓励驻区单位停车场夜间向市民开放，完善促进社会投资参与经营性停车设施建设政策，推动体育文化设施、绿地、地下停车场进行改造加建，增加基本停车位供给。将智能充电桩建设与停车场地拓展工作结合起来，积极引入市场建设机制及智慧化管理方式，引导物业公司、业主委员会积极支持和配合充电桩建设，增加电动汽车公共充电站数量。</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ascii="仿宋_GB2312" w:hAnsi="仿宋" w:eastAsia="仿宋_GB2312" w:cs="Times New Roman"/>
          <w:b/>
          <w:color w:val="000000"/>
          <w:kern w:val="44"/>
          <w:sz w:val="32"/>
          <w:szCs w:val="32"/>
          <w:highlight w:val="none"/>
        </w:rPr>
      </w:pPr>
      <w:bookmarkStart w:id="34" w:name="_Toc54608199"/>
      <w:bookmarkStart w:id="35" w:name="_Toc54608626"/>
      <w:bookmarkStart w:id="36" w:name="_Toc56123443"/>
      <w:r>
        <w:rPr>
          <w:rFonts w:hint="eastAsia" w:ascii="楷体_GB2312" w:hAnsi="楷体_GB2312" w:eastAsia="楷体_GB2312" w:cs="楷体_GB2312"/>
          <w:b w:val="0"/>
          <w:bCs w:val="0"/>
          <w:sz w:val="32"/>
          <w:szCs w:val="32"/>
          <w:highlight w:val="none"/>
        </w:rPr>
        <w:t>（三）加强智慧社区建设提升在线服务质量</w:t>
      </w:r>
      <w:bookmarkEnd w:id="34"/>
      <w:bookmarkEnd w:id="35"/>
      <w:bookmarkEnd w:id="36"/>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kern w:val="44"/>
          <w:sz w:val="32"/>
          <w:szCs w:val="32"/>
          <w:highlight w:val="none"/>
        </w:rPr>
      </w:pPr>
      <w:r>
        <w:rPr>
          <w:rFonts w:hint="eastAsia" w:ascii="仿宋_GB2312" w:hAnsi="仿宋" w:eastAsia="仿宋_GB2312" w:cs="Times New Roman"/>
          <w:color w:val="000000"/>
          <w:kern w:val="44"/>
          <w:sz w:val="32"/>
          <w:szCs w:val="32"/>
          <w:highlight w:val="none"/>
        </w:rPr>
        <w:t>继续扩大“智慧社区”覆盖范围，提高便民服务信息化水平。建立“智慧西城”一网通公共服务集成平台，集智慧政务、智慧服务、智慧民生、智慧城管于一体，提升居民生活智能化程度。建设线上便民商业服务平台，实现服务线上预约、线上购买、配送到家、上门服务的服务模式，促进商业网点自发进行经营升级。</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bookmarkStart w:id="37" w:name="_Toc54608200"/>
      <w:bookmarkStart w:id="38" w:name="_Toc54608627"/>
      <w:bookmarkStart w:id="39" w:name="_Toc56123444"/>
      <w:r>
        <w:rPr>
          <w:rFonts w:hint="eastAsia" w:ascii="楷体_GB2312" w:hAnsi="楷体_GB2312" w:eastAsia="楷体_GB2312" w:cs="楷体_GB2312"/>
          <w:b w:val="0"/>
          <w:bCs w:val="0"/>
          <w:sz w:val="32"/>
          <w:szCs w:val="32"/>
          <w:highlight w:val="none"/>
        </w:rPr>
        <w:t>（四）推动便民服务建设与城市品质提升相结合</w:t>
      </w:r>
      <w:bookmarkEnd w:id="37"/>
      <w:bookmarkEnd w:id="38"/>
      <w:bookmarkEnd w:id="39"/>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kern w:val="44"/>
          <w:sz w:val="32"/>
          <w:szCs w:val="32"/>
          <w:highlight w:val="none"/>
        </w:rPr>
      </w:pPr>
      <w:r>
        <w:rPr>
          <w:rFonts w:hint="eastAsia" w:ascii="仿宋_GB2312" w:hAnsi="仿宋" w:eastAsia="仿宋_GB2312" w:cs="Times New Roman"/>
          <w:color w:val="000000"/>
          <w:kern w:val="44"/>
          <w:sz w:val="32"/>
          <w:szCs w:val="32"/>
          <w:highlight w:val="none"/>
        </w:rPr>
        <w:t>有针对性地开展便民超市、生鲜零售站点提质工作，重点增补和完善餐饮、维修、家政、代收代缴等服务，引导现有小型、零散的服务业企业或个体工商户自发集聚，鼓励连锁企业扩大经营规模，提高设施的配置标准和服务水平。推进社区生活性服务业便利化、品牌化、特色化发展，鼓励发展社区文化艺术、演出展览、特色书店及体育健身等服务消费产品，实现生活质量与城市品质同步提升。</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hint="eastAsia" w:ascii="黑体" w:hAnsi="黑体" w:eastAsia="黑体" w:cs="Times New Roman"/>
          <w:kern w:val="0"/>
          <w:sz w:val="32"/>
          <w:szCs w:val="32"/>
          <w:highlight w:val="none"/>
        </w:rPr>
      </w:pPr>
      <w:bookmarkStart w:id="40" w:name="_Toc70297263"/>
      <w:r>
        <w:rPr>
          <w:rFonts w:hint="eastAsia" w:ascii="黑体" w:hAnsi="黑体" w:eastAsia="黑体" w:cs="Times New Roman"/>
          <w:kern w:val="0"/>
          <w:sz w:val="32"/>
          <w:szCs w:val="32"/>
          <w:highlight w:val="none"/>
        </w:rPr>
        <w:t>十、推进高标准城市安全体系</w:t>
      </w:r>
      <w:bookmarkEnd w:id="40"/>
      <w:r>
        <w:rPr>
          <w:rFonts w:hint="eastAsia" w:ascii="黑体" w:hAnsi="黑体" w:eastAsia="黑体" w:cs="Times New Roman"/>
          <w:kern w:val="0"/>
          <w:sz w:val="32"/>
          <w:szCs w:val="32"/>
          <w:highlight w:val="none"/>
        </w:rPr>
        <w:t>建设</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kern w:val="44"/>
          <w:sz w:val="32"/>
          <w:szCs w:val="32"/>
          <w:highlight w:val="none"/>
        </w:rPr>
      </w:pPr>
      <w:r>
        <w:rPr>
          <w:rFonts w:hint="eastAsia" w:ascii="仿宋_GB2312" w:hAnsi="仿宋" w:eastAsia="仿宋_GB2312" w:cs="Times New Roman"/>
          <w:color w:val="000000"/>
          <w:kern w:val="44"/>
          <w:sz w:val="32"/>
          <w:szCs w:val="32"/>
          <w:highlight w:val="none"/>
        </w:rPr>
        <w:t>将安全发展贯穿到公共服务建设全过程，形成政府主导、综治协调、各部门齐抓共管、社会力量积极参与的公共安全防控体系，不断增强公共安全建设水平，形成具有首都核心区特色的安全发展格局。</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（一）建设立体化社会治安防控体系</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kern w:val="44"/>
          <w:sz w:val="32"/>
          <w:szCs w:val="32"/>
          <w:highlight w:val="none"/>
        </w:rPr>
      </w:pPr>
      <w:r>
        <w:rPr>
          <w:rFonts w:hint="eastAsia" w:ascii="仿宋_GB2312" w:hAnsi="仿宋" w:eastAsia="仿宋_GB2312" w:cs="Times New Roman"/>
          <w:color w:val="000000"/>
          <w:kern w:val="44"/>
          <w:sz w:val="32"/>
          <w:szCs w:val="32"/>
          <w:highlight w:val="none"/>
        </w:rPr>
        <w:t>完善社会面治安防控网建设，加强公安与武警联勤武装巡逻，建立健全指挥和保障机制，完善早晚高峰等节点人员密集场所重点勤务工作机制，提升社会面动态控制能力。加强街道和社区治安防控网建设，因地制宜确定网格管理职责，纳入社区服务工作或群防群治管理，实现区、街道、社区三级综合服务管理平台全覆盖。构建规模合理、覆盖全面的公安设施布局，加强公共安全视频监控建设联网应用，加大视频监控增点补面、提档升级和联网应用力度，加快全市大数据警务云建设。</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（二）加强消防安全设施建设与保障</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color w:val="000000"/>
          <w:kern w:val="44"/>
          <w:sz w:val="32"/>
          <w:szCs w:val="32"/>
          <w:highlight w:val="none"/>
        </w:rPr>
      </w:pPr>
      <w:r>
        <w:rPr>
          <w:rFonts w:hint="eastAsia" w:ascii="仿宋_GB2312" w:hAnsi="仿宋" w:eastAsia="仿宋_GB2312" w:cs="Times New Roman"/>
          <w:color w:val="000000"/>
          <w:kern w:val="44"/>
          <w:sz w:val="32"/>
          <w:szCs w:val="32"/>
          <w:highlight w:val="none"/>
        </w:rPr>
        <w:t>稳步推进消防基础设施建设工作，完善消防站布局，推进历史文化街区消防设施小型化，结合消防重点单位和社区建立微型消防站，推动消防综合救援与应急设施共享</w:t>
      </w:r>
      <w:r>
        <w:rPr>
          <w:rFonts w:hint="eastAsia" w:ascii="仿宋_GB2312" w:hAnsi="仿宋" w:eastAsia="仿宋_GB2312" w:cs="Times New Roman"/>
          <w:color w:val="000000"/>
          <w:kern w:val="44"/>
          <w:sz w:val="32"/>
          <w:szCs w:val="32"/>
          <w:highlight w:val="none"/>
          <w:lang w:eastAsia="zh-CN"/>
        </w:rPr>
        <w:t>，</w:t>
      </w:r>
      <w:r>
        <w:rPr>
          <w:rFonts w:hint="eastAsia" w:ascii="仿宋_GB2312" w:hAnsi="仿宋" w:eastAsia="仿宋_GB2312" w:cs="Times New Roman"/>
          <w:color w:val="000000"/>
          <w:kern w:val="44"/>
          <w:sz w:val="32"/>
          <w:szCs w:val="32"/>
          <w:highlight w:val="none"/>
          <w:lang w:val="en-US" w:eastAsia="zh-CN"/>
        </w:rPr>
        <w:t>实现每1.1平方公里就有一支专业消防救援力量守护，平均应急响应到场时间缩短至5分钟以内</w:t>
      </w:r>
      <w:r>
        <w:rPr>
          <w:rFonts w:hint="eastAsia" w:ascii="仿宋_GB2312" w:hAnsi="仿宋" w:eastAsia="仿宋_GB2312" w:cs="Times New Roman"/>
          <w:color w:val="000000"/>
          <w:kern w:val="44"/>
          <w:sz w:val="32"/>
          <w:szCs w:val="32"/>
          <w:highlight w:val="none"/>
        </w:rPr>
        <w:t>。优化“秒级响应”力量布局，提升火灾防灭一体化能力，完善“全覆盖式”应急救援体系。探索开展“智慧消防”联动工作，推进水务、消防、公安、卫生、电力、燃气、交通等数据和业务对接，建立事前预测、事中处置、事后分析的数据智能应用体系，更好的保障人民群众生命和财产安全。</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（三）优化突发事件应急管理与救援能力</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黑体" w:hAnsi="黑体" w:eastAsia="黑体" w:cs="Times New Roman"/>
          <w:kern w:val="44"/>
          <w:sz w:val="32"/>
          <w:szCs w:val="32"/>
          <w:highlight w:val="none"/>
        </w:rPr>
      </w:pPr>
      <w:r>
        <w:rPr>
          <w:rFonts w:hint="eastAsia" w:ascii="仿宋_GB2312" w:hAnsi="仿宋" w:eastAsia="仿宋_GB2312" w:cs="Times New Roman"/>
          <w:color w:val="000000"/>
          <w:kern w:val="44"/>
          <w:sz w:val="32"/>
          <w:szCs w:val="32"/>
          <w:highlight w:val="none"/>
        </w:rPr>
        <w:t>建立应对突发事件的统一应急指挥体系，利用物联网、航空遥感等技术统筹建立构建数据资源开放共享机制。优化防灾空间布局，划分防灾分区及防灾生活圈，设立三级防灾分区，预留防灾避难空间和中长期安置空间。高标准推进避难场所建设，充分利用非首都功能疏解腾退空间，着重加强市区两级避难场所规划建设，实现避难场所社区全覆盖。完善生命线应急保障系统，建设应急供水、供电、广播通信和物资储备系统建设，形成救灾物资储备库网络体系。</w:t>
      </w:r>
      <w:bookmarkStart w:id="41" w:name="_Toc56123451"/>
      <w:bookmarkStart w:id="42" w:name="_Toc46026106"/>
      <w:bookmarkStart w:id="43" w:name="_Toc70297264"/>
    </w:p>
    <w:p>
      <w:pPr>
        <w:keepNext w:val="0"/>
        <w:keepLines/>
        <w:pageBreakBefore w:val="0"/>
        <w:widowControl w:val="0"/>
        <w:kinsoku/>
        <w:wordWrap/>
        <w:overflowPunct/>
        <w:topLinePunct w:val="0"/>
        <w:autoSpaceDE/>
        <w:autoSpaceDN/>
        <w:bidi w:val="0"/>
        <w:adjustRightInd/>
        <w:snapToGrid w:val="0"/>
        <w:spacing w:line="560" w:lineRule="exact"/>
        <w:jc w:val="center"/>
        <w:textAlignment w:val="baseline"/>
        <w:outlineLvl w:val="0"/>
        <w:rPr>
          <w:rFonts w:hint="eastAsia" w:ascii="黑体" w:hAnsi="黑体" w:eastAsia="黑体" w:cs="Times New Roman"/>
          <w:kern w:val="44"/>
          <w:sz w:val="32"/>
          <w:szCs w:val="32"/>
          <w:highlight w:val="none"/>
        </w:rPr>
      </w:pPr>
    </w:p>
    <w:p>
      <w:pPr>
        <w:keepNext w:val="0"/>
        <w:keepLines/>
        <w:pageBreakBefore w:val="0"/>
        <w:widowControl w:val="0"/>
        <w:kinsoku/>
        <w:wordWrap/>
        <w:overflowPunct/>
        <w:topLinePunct w:val="0"/>
        <w:autoSpaceDE/>
        <w:autoSpaceDN/>
        <w:bidi w:val="0"/>
        <w:adjustRightInd/>
        <w:snapToGrid w:val="0"/>
        <w:spacing w:line="560" w:lineRule="exact"/>
        <w:jc w:val="center"/>
        <w:textAlignment w:val="baseline"/>
        <w:outlineLvl w:val="0"/>
        <w:rPr>
          <w:rFonts w:ascii="黑体" w:hAnsi="黑体" w:eastAsia="黑体" w:cs="Times New Roman"/>
          <w:kern w:val="44"/>
          <w:sz w:val="32"/>
          <w:szCs w:val="32"/>
          <w:highlight w:val="none"/>
        </w:rPr>
      </w:pPr>
      <w:r>
        <w:rPr>
          <w:rFonts w:hint="eastAsia" w:ascii="黑体" w:hAnsi="黑体" w:eastAsia="黑体" w:cs="Times New Roman"/>
          <w:kern w:val="44"/>
          <w:sz w:val="32"/>
          <w:szCs w:val="32"/>
          <w:highlight w:val="none"/>
        </w:rPr>
        <w:t xml:space="preserve">第四章 </w:t>
      </w:r>
      <w:bookmarkEnd w:id="41"/>
      <w:bookmarkEnd w:id="42"/>
      <w:r>
        <w:rPr>
          <w:rFonts w:hint="eastAsia" w:ascii="黑体" w:hAnsi="黑体" w:eastAsia="黑体" w:cs="Times New Roman"/>
          <w:kern w:val="44"/>
          <w:sz w:val="32"/>
          <w:szCs w:val="32"/>
          <w:highlight w:val="none"/>
        </w:rPr>
        <w:t>保障机制</w:t>
      </w:r>
      <w:bookmarkEnd w:id="43"/>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hint="eastAsia" w:ascii="黑体" w:hAnsi="黑体" w:eastAsia="黑体" w:cs="Times New Roman"/>
          <w:kern w:val="0"/>
          <w:sz w:val="32"/>
          <w:szCs w:val="32"/>
          <w:highlight w:val="none"/>
        </w:rPr>
      </w:pPr>
      <w:bookmarkStart w:id="44" w:name="_Toc56123452"/>
      <w:bookmarkStart w:id="45" w:name="_Toc46026107"/>
      <w:bookmarkStart w:id="46" w:name="_Toc70297265"/>
      <w:r>
        <w:rPr>
          <w:rFonts w:hint="eastAsia" w:ascii="黑体" w:hAnsi="黑体" w:eastAsia="黑体" w:cs="Times New Roman"/>
          <w:kern w:val="0"/>
          <w:sz w:val="32"/>
          <w:szCs w:val="32"/>
          <w:highlight w:val="none"/>
        </w:rPr>
        <w:t>一、加强统筹协调</w:t>
      </w:r>
      <w:bookmarkEnd w:id="44"/>
      <w:bookmarkEnd w:id="45"/>
      <w:r>
        <w:rPr>
          <w:rFonts w:hint="eastAsia" w:ascii="黑体" w:hAnsi="黑体" w:eastAsia="黑体" w:cs="Times New Roman"/>
          <w:kern w:val="0"/>
          <w:sz w:val="32"/>
          <w:szCs w:val="32"/>
          <w:highlight w:val="none"/>
        </w:rPr>
        <w:t>力度</w:t>
      </w:r>
      <w:bookmarkEnd w:id="46"/>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把公共服务保障工作纳入党和政府的重要议事日程，做好政治领导和工作指导，站在经济社会发展全局筹划布局、搭建平台、配置资源。建立本区基本公共服务体系建设跨部门协调工作机制，完善顶层设计、加强统筹协调。建立统一管理、分工负责、协同推进的基本公共服务标准工作实施机制，加强对标准制定及实施应用的综合协调，做好统筹规划、财政保障、监测评估和技术指导，研究解决基本公共服务标准体系建设中跨部门、跨行业、跨区域的重大问题。</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hint="eastAsia" w:ascii="黑体" w:hAnsi="黑体" w:eastAsia="黑体" w:cs="Times New Roman"/>
          <w:kern w:val="0"/>
          <w:sz w:val="32"/>
          <w:szCs w:val="32"/>
          <w:highlight w:val="none"/>
        </w:rPr>
      </w:pPr>
      <w:bookmarkStart w:id="47" w:name="_Toc56123453"/>
      <w:bookmarkStart w:id="48" w:name="_Toc46026108"/>
      <w:bookmarkStart w:id="49" w:name="_Toc70297266"/>
      <w:r>
        <w:rPr>
          <w:rFonts w:hint="eastAsia" w:ascii="黑体" w:hAnsi="黑体" w:eastAsia="黑体" w:cs="Times New Roman"/>
          <w:kern w:val="0"/>
          <w:sz w:val="32"/>
          <w:szCs w:val="32"/>
          <w:highlight w:val="none"/>
        </w:rPr>
        <w:t>二、优化财政保障</w:t>
      </w:r>
      <w:bookmarkEnd w:id="47"/>
      <w:bookmarkEnd w:id="48"/>
      <w:r>
        <w:rPr>
          <w:rFonts w:hint="eastAsia" w:ascii="黑体" w:hAnsi="黑体" w:eastAsia="黑体" w:cs="Times New Roman"/>
          <w:kern w:val="0"/>
          <w:sz w:val="32"/>
          <w:szCs w:val="32"/>
          <w:highlight w:val="none"/>
        </w:rPr>
        <w:t>机制</w:t>
      </w:r>
      <w:bookmarkEnd w:id="49"/>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坚持基本公共服务水平与经济社会发展水平相适应，建立基本公共服务财政支出增长长效机制。坚持政府主导、社会参与、突出公益、专业导向原则，对于重点公共服务保障，加大区财政支持，盘活存量资产，做到财力统筹安排、项目统筹确定、管理统筹推进。完善对基本公共服务资金支付和使用的全过程监管，健全绩效评价结果与预算安排、政策调整挂钩机制。加大政府购买公共服务力度，鼓励社会资本与政府合作。</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hint="eastAsia" w:ascii="黑体" w:hAnsi="黑体" w:eastAsia="黑体" w:cs="Times New Roman"/>
          <w:kern w:val="0"/>
          <w:sz w:val="32"/>
          <w:szCs w:val="32"/>
          <w:highlight w:val="none"/>
        </w:rPr>
      </w:pPr>
      <w:bookmarkStart w:id="50" w:name="_Toc70297267"/>
      <w:bookmarkStart w:id="51" w:name="_Toc56123454"/>
      <w:bookmarkStart w:id="52" w:name="_Toc46026109"/>
      <w:r>
        <w:rPr>
          <w:rFonts w:hint="eastAsia" w:ascii="黑体" w:hAnsi="黑体" w:eastAsia="黑体" w:cs="Times New Roman"/>
          <w:kern w:val="0"/>
          <w:sz w:val="32"/>
          <w:szCs w:val="32"/>
          <w:highlight w:val="none"/>
        </w:rPr>
        <w:t>三、加强人才保障工作</w:t>
      </w:r>
      <w:bookmarkEnd w:id="50"/>
      <w:bookmarkEnd w:id="51"/>
      <w:bookmarkEnd w:id="52"/>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 xml:space="preserve">继续实施教育、卫生、文化、体育、养老、助残等领域的专业人才培养计划和重大人才工程，充分发挥示范性服务机构的人才培训功能，提升基本公共服务体系的整体服务水平。提升基层政府的基本公共服务水平，多途径增设文化等服务人才岗位，进一步提高专业化水平，完善管理服务人员薪酬激励制度，吸引更多优秀人才进入基本公共服务体系。加强专业人才住房保障，按照尽力而为、量力而行的原则优化人才住房的政策支持，为引进优秀人才提供良好的工作、生活环境。 </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hint="eastAsia" w:ascii="黑体" w:hAnsi="黑体" w:eastAsia="黑体" w:cs="Times New Roman"/>
          <w:kern w:val="0"/>
          <w:sz w:val="32"/>
          <w:szCs w:val="32"/>
          <w:highlight w:val="none"/>
        </w:rPr>
      </w:pPr>
      <w:bookmarkStart w:id="53" w:name="_Toc46026105"/>
      <w:bookmarkStart w:id="54" w:name="_Toc70297268"/>
      <w:r>
        <w:rPr>
          <w:rFonts w:hint="eastAsia" w:ascii="黑体" w:hAnsi="黑体" w:eastAsia="黑体" w:cs="Times New Roman"/>
          <w:kern w:val="0"/>
          <w:sz w:val="32"/>
          <w:szCs w:val="32"/>
          <w:highlight w:val="none"/>
        </w:rPr>
        <w:t>四、</w:t>
      </w:r>
      <w:bookmarkEnd w:id="53"/>
      <w:r>
        <w:rPr>
          <w:rFonts w:hint="eastAsia" w:ascii="黑体" w:hAnsi="黑体" w:eastAsia="黑体" w:cs="Times New Roman"/>
          <w:kern w:val="0"/>
          <w:sz w:val="32"/>
          <w:szCs w:val="32"/>
          <w:highlight w:val="none"/>
        </w:rPr>
        <w:t>提升智慧服务水平</w:t>
      </w:r>
      <w:bookmarkEnd w:id="54"/>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 xml:space="preserve">增加信息技术在医疗、养老、教育、文体等方面的普及、连通和开放程度。打破信息壁垒加强信息互动，重点解决公共服务供给“碎片化”的问题，加强信息管理制度与技术标准的建设，保障政府信息服务行为和服务平台建设的规范化，探索建立统一基本公共服务线上网络，利用有效投资加强以保障和改善民生为重点的公共服务平台建设，扎实推进公共服务、社会治理的数字化。 </w:t>
      </w:r>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1"/>
        <w:rPr>
          <w:rFonts w:hint="eastAsia" w:ascii="黑体" w:hAnsi="黑体" w:eastAsia="黑体" w:cs="Times New Roman"/>
          <w:kern w:val="0"/>
          <w:sz w:val="32"/>
          <w:szCs w:val="32"/>
          <w:highlight w:val="none"/>
        </w:rPr>
      </w:pPr>
      <w:bookmarkStart w:id="55" w:name="_Toc46026111"/>
      <w:bookmarkStart w:id="56" w:name="_Toc56123457"/>
      <w:bookmarkStart w:id="57" w:name="_Toc70297269"/>
      <w:r>
        <w:rPr>
          <w:rFonts w:hint="eastAsia" w:ascii="黑体" w:hAnsi="黑体" w:eastAsia="黑体" w:cs="Times New Roman"/>
          <w:kern w:val="0"/>
          <w:sz w:val="32"/>
          <w:szCs w:val="32"/>
          <w:highlight w:val="none"/>
        </w:rPr>
        <w:t>五、健全监管评估体系</w:t>
      </w:r>
      <w:bookmarkEnd w:id="55"/>
      <w:bookmarkEnd w:id="56"/>
      <w:bookmarkEnd w:id="57"/>
    </w:p>
    <w:p>
      <w:pPr>
        <w:keepNext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hAnsi="仿宋" w:eastAsia="仿宋_GB2312" w:cs="Times New Roman"/>
          <w:sz w:val="32"/>
          <w:szCs w:val="32"/>
          <w:highlight w:val="none"/>
        </w:rPr>
        <w:sectPr>
          <w:footerReference r:id="rId7" w:type="default"/>
          <w:footnotePr>
            <w:numFmt w:val="decimalEnclosedCircleChinese"/>
            <w:numRestart w:val="eachPage"/>
          </w:footnotePr>
          <w:pgSz w:w="11906" w:h="16838"/>
          <w:pgMar w:top="2098" w:right="1474" w:bottom="1984" w:left="1587" w:header="1417" w:footer="1417" w:gutter="0"/>
          <w:pgNumType w:fmt="numberInDash" w:start="2"/>
          <w:cols w:space="720" w:num="1"/>
          <w:docGrid w:type="lines" w:linePitch="312" w:charSpace="0"/>
        </w:sectPr>
      </w:pPr>
      <w:r>
        <w:rPr>
          <w:rFonts w:hint="eastAsia" w:ascii="仿宋_GB2312" w:hAnsi="仿宋" w:eastAsia="仿宋_GB2312" w:cs="Times New Roman"/>
          <w:sz w:val="32"/>
          <w:szCs w:val="32"/>
          <w:highlight w:val="none"/>
        </w:rPr>
        <w:t>加强公共服务过程监管与结果评估体系，建立健全公众参与机制，充分发挥社会监督作用。建立健全评价结果信息公开制度，完善定期的基本公共服务需求满意度调查制度。建立全覆盖、有重点、可追踪的项目信息库。确保街道公共服务项目落点落图，常态化追踪实施进程，定期评估阶段性成果。建立有效的基本公共服务绩效评估体系，完善评价标准、创新评价机制、以市民为中心，以满意为尺度，积极引入外部评估机制，建立多元化的绩效评估体系。</w:t>
      </w:r>
      <w:bookmarkStart w:id="58" w:name="_GoBack"/>
      <w:bookmarkEnd w:id="58"/>
    </w:p>
    <w:p/>
    <w:sectPr>
      <w:footerReference r:id="rId8" w:type="default"/>
      <w:footnotePr>
        <w:numFmt w:val="decimalEnclosedCircleChinese"/>
        <w:numRestart w:val="eachPage"/>
      </w:footnotePr>
      <w:pgSz w:w="11906" w:h="16838"/>
      <w:pgMar w:top="1701" w:right="1701" w:bottom="1701" w:left="1701" w:header="1417"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DB58D9-5747-4EE5-B1F5-E9F13A1513E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3BFF739C-CBE7-43C7-B25D-4F43CEAEF6E3}"/>
  </w:font>
  <w:font w:name="仿宋_GB2312">
    <w:panose1 w:val="02010609030101010101"/>
    <w:charset w:val="86"/>
    <w:family w:val="auto"/>
    <w:pitch w:val="default"/>
    <w:sig w:usb0="00000001" w:usb1="080E0000" w:usb2="00000000" w:usb3="00000000" w:csb0="00040000" w:csb1="00000000"/>
    <w:embedRegular r:id="rId3" w:fontKey="{54F1D949-2135-4EBE-A996-CCDBF1BD6BB7}"/>
  </w:font>
  <w:font w:name="楷体">
    <w:panose1 w:val="02010609060101010101"/>
    <w:charset w:val="86"/>
    <w:family w:val="modern"/>
    <w:pitch w:val="default"/>
    <w:sig w:usb0="800002BF" w:usb1="38CF7CFA" w:usb2="00000016" w:usb3="00000000" w:csb0="00040001" w:csb1="00000000"/>
    <w:embedRegular r:id="rId4" w:fontKey="{9ECBE2F5-CB37-4B04-A1CD-2DF975FB3372}"/>
  </w:font>
  <w:font w:name="方正小标宋简体">
    <w:panose1 w:val="02000000000000000000"/>
    <w:charset w:val="86"/>
    <w:family w:val="auto"/>
    <w:pitch w:val="default"/>
    <w:sig w:usb0="A00002BF" w:usb1="184F6CFA" w:usb2="00000012" w:usb3="00000000" w:csb0="00040001" w:csb1="00000000"/>
    <w:embedRegular r:id="rId5" w:fontKey="{BA1EB9E2-2B11-4B14-A9DF-FFDBE13AA46D}"/>
  </w:font>
  <w:font w:name="方正粗宋简体">
    <w:altName w:val="方正小标宋简体"/>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embedRegular r:id="rId6" w:fontKey="{3FE28129-83CB-485D-A250-82C822AF325B}"/>
  </w:font>
  <w:font w:name="楷体_GB2312">
    <w:panose1 w:val="02010609030101010101"/>
    <w:charset w:val="86"/>
    <w:family w:val="auto"/>
    <w:pitch w:val="default"/>
    <w:sig w:usb0="00000001" w:usb1="080E0000" w:usb2="00000000" w:usb3="00000000" w:csb0="00040000" w:csb1="00000000"/>
    <w:embedRegular r:id="rId7" w:fontKey="{CAE65A5F-399B-41A3-9527-35A7CD28DB2F}"/>
  </w:font>
  <w:font w:name="仿宋">
    <w:panose1 w:val="02010609060101010101"/>
    <w:charset w:val="86"/>
    <w:family w:val="auto"/>
    <w:pitch w:val="default"/>
    <w:sig w:usb0="800002BF" w:usb1="38CF7CFA" w:usb2="00000016" w:usb3="00000000" w:csb0="00040001" w:csb1="00000000"/>
    <w:embedRegular r:id="rId8" w:fontKey="{CB3AB4A6-63B1-439F-9871-1AE5FF8492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p>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- 0 -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- 0 -</w:t>
                    </w:r>
                    <w:r>
                      <w:rPr>
                        <w:rFonts w:hint="eastAsia" w:ascii="宋体" w:hAnsi="宋体" w:eastAsia="宋体" w:cs="宋体"/>
                        <w:kern w:val="2"/>
                        <w:sz w:val="28"/>
                        <w:szCs w:val="28"/>
                        <w:lang w:val="en-US" w:eastAsia="zh-CN" w:bidi="ar-SA"/>
                      </w:rPr>
                      <w:fldChar w:fldCharType="end"/>
                    </w:r>
                  </w:p>
                </w:txbxContent>
              </v:textbox>
            </v:shape>
          </w:pict>
        </mc:Fallback>
      </mc:AlternateContent>
    </w:r>
  </w:p>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- 0 -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- 0 -</w:t>
                    </w:r>
                    <w:r>
                      <w:rPr>
                        <w:rFonts w:hint="eastAsia" w:ascii="宋体" w:hAnsi="宋体" w:eastAsia="宋体" w:cs="宋体"/>
                        <w:kern w:val="2"/>
                        <w:sz w:val="28"/>
                        <w:szCs w:val="28"/>
                        <w:lang w:val="en-US" w:eastAsia="zh-CN" w:bidi="ar-SA"/>
                      </w:rPr>
                      <w:fldChar w:fldCharType="end"/>
                    </w:r>
                  </w:p>
                </w:txbxContent>
              </v:textbox>
            </v:shape>
          </w:pict>
        </mc:Fallback>
      </mc:AlternateContent>
    </w:r>
  </w:p>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- 0 -</w:t>
                    </w:r>
                    <w:r>
                      <w:rPr>
                        <w:rFonts w:hint="eastAsia" w:ascii="宋体" w:hAnsi="宋体" w:eastAsia="宋体" w:cs="宋体"/>
                        <w:sz w:val="28"/>
                        <w:szCs w:val="28"/>
                      </w:rPr>
                      <w:fldChar w:fldCharType="end"/>
                    </w:r>
                  </w:p>
                </w:txbxContent>
              </v:textbox>
            </v:shape>
          </w:pict>
        </mc:Fallback>
      </mc:AlternateContent>
    </w:r>
  </w:p>
  <w:p>
    <w:pPr>
      <w:pStyle w:val="5"/>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76650"/>
    <w:rsid w:val="0A8850F4"/>
    <w:rsid w:val="0C28383F"/>
    <w:rsid w:val="17E81924"/>
    <w:rsid w:val="183F56E5"/>
    <w:rsid w:val="1C8133F5"/>
    <w:rsid w:val="21C97F82"/>
    <w:rsid w:val="32931571"/>
    <w:rsid w:val="3BD10BF4"/>
    <w:rsid w:val="54A6431E"/>
    <w:rsid w:val="56394DFB"/>
    <w:rsid w:val="5FC71111"/>
    <w:rsid w:val="627D51AB"/>
    <w:rsid w:val="62984317"/>
    <w:rsid w:val="692B5CA8"/>
    <w:rsid w:val="6AFF59D3"/>
    <w:rsid w:val="72534CE9"/>
    <w:rsid w:val="7BDE4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w:basedOn w:val="1"/>
    <w:qFormat/>
    <w:uiPriority w:val="0"/>
    <w:pPr>
      <w:spacing w:after="12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oc 1"/>
    <w:basedOn w:val="1"/>
    <w:next w:val="1"/>
    <w:qFormat/>
    <w:uiPriority w:val="0"/>
    <w:rPr>
      <w:rFonts w:eastAsia="楷体" w:asciiTheme="minorAscii" w:hAnsiTheme="minorAscii" w:cstheme="minorBidi"/>
      <w:sz w:val="36"/>
      <w:szCs w:val="22"/>
    </w:rPr>
  </w:style>
  <w:style w:type="paragraph" w:styleId="7">
    <w:name w:val="Title"/>
    <w:basedOn w:val="1"/>
    <w:qFormat/>
    <w:uiPriority w:val="0"/>
    <w:pPr>
      <w:spacing w:before="240" w:beforeLines="0" w:beforeAutospacing="0" w:after="60" w:afterLines="0" w:afterAutospacing="0"/>
      <w:jc w:val="both"/>
      <w:outlineLvl w:val="0"/>
    </w:pPr>
    <w:rPr>
      <w:rFonts w:ascii="Arial" w:hAnsi="Arial"/>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19453</Words>
  <Characters>19718</Characters>
  <Lines>0</Lines>
  <Paragraphs>0</Paragraphs>
  <TotalTime>7</TotalTime>
  <ScaleCrop>false</ScaleCrop>
  <LinksUpToDate>false</LinksUpToDate>
  <CharactersWithSpaces>19852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2021-07-26T06:52:00Z</dcterms:created>
  <dc:creator>SHK</dc:creator>
  <cp:lastModifiedBy>NTKO</cp:lastModifiedBy>
  <dcterms:modified xsi:type="dcterms:W3CDTF">2022-03-30T06:23:42Z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5FDEB66069524C0E80E2E21F7AEC4FA1</vt:lpwstr>
  </property>
</Properties>
</file>