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双随机抽查事项清单</w:t>
      </w:r>
    </w:p>
    <w:p>
      <w:pPr/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 xml:space="preserve">   </w:t>
      </w:r>
      <w:bookmarkStart w:id="0" w:name="_GoBack"/>
      <w:bookmarkEnd w:id="0"/>
      <w:r>
        <w:rPr>
          <w:rFonts w:hint="eastAsia" w:ascii="宋体" w:hAnsi="宋体" w:eastAsia="宋体" w:cs="宋体"/>
          <w:color w:val="404040"/>
          <w:kern w:val="0"/>
          <w:sz w:val="24"/>
          <w:szCs w:val="24"/>
          <w:lang w:val="en-US" w:eastAsia="zh-CN" w:bidi="ar"/>
        </w:rPr>
        <w:t>参照北京市审计局，西城区审计局不涉及双随机抽查事项清单。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231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谢云</cp:lastModifiedBy>
  <dcterms:modified xsi:type="dcterms:W3CDTF">2022-08-12T07:27:32Z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