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879"/>
        <w:gridCol w:w="2250"/>
        <w:gridCol w:w="2160"/>
        <w:gridCol w:w="3957"/>
        <w:gridCol w:w="1500"/>
        <w:gridCol w:w="16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具体职责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业务事项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信息类别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内容标准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公开时限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公开形式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国有资产监管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制度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制定区管企业国有资产监管各项制度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国有资产监管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制度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按要求公开的规范性文件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【文件内容】【发文文号】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【发文日期】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30个工作日内公开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机关工作运转规章制度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制定区国资委年度工作计划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机关政务工作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【年度工作要点】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政务信息公开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网站公开内容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政府信息公开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年报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【年度政府信息公开报告】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"https://www.bjxch.gov.cn/index.html"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政务信息公开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网站公开内容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政府信息公开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目录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【政府信息公开目录】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"https://www.bjxch.gov.cn/index.html"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政务信息公开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网站公开内容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政府信息公开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指南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【年度政府信息公开指南】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"https://www.bjxch.gov.cn/index.html"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政务信息公开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网站公开内容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依申请公开申请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流程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【依申请公开申请流程】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"https://www.bjxch.gov.cn/index.html"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机关财务管理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编报年度预算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机关政务工作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【年度预算说明】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编制财务收支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报表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机关政务工作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【年度决算说明】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对外宣传和新闻工作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对涉及本部门的重要政务舆情、媒体关切、突发事件等热点问题、及时发布权威信息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舆情回应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【舆情回应信息】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及时发布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企业重组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事项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企业重组信息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公布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企业重组情况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【重组时间】【重组企业】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【重组方式】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重组公布后15个工作日内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企业改制工作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改制信息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企业改制情况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【单位名称】【改制时间】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【改制方式】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业绩考核与薪酬管理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年度区管企业负责人经营业绩考核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经营业绩考核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【经营业绩指标总体完成情况】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（包括利润总额等指标）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【企业负责人经营业绩考核总体情况】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业绩考核与薪酬管理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年度区管企业负责人薪酬情况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企业负责人薪酬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【年度区管企业负责人薪酬兑现总体情况】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（包括区管企业负责人基本年薪、绩效年薪情况等）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按年度公开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承担全区国有企业财务动态监测有关工作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收集审核区属国有企业财务月报数据，并对数据进行汇总分析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主要财务指标完成情况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【出资企业营业收入】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【资产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总额等指标】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60个工作日内公开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承担出资企业财务决算有关工作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收集审核出资企业财务决算报表数据，并对数据进行汇总分析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国有资产保值增值情况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【出资企业主要经济指标】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【平均国有资产保值增值率】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90个工作日内公开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国有产权流转事项监管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企业增资扩股信息统计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增资扩股信息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公开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【项目编号】【标的名称】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【拟募集资金金额】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【披露起始日期】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"http://www.cbex.com.cn/"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北京产权交易所网站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国有产权流转事项监管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企业产权交易信息统计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产权交易信息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公开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【项目编号】【标的名称】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【挂牌价格】【披露起始日期】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"http://www.cbex.com.cn/"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北京产权交易所网站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区管企业兼职外部董事调整调配相关工作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区管企业兼职外部董事任免信息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区管企业兼职外部董事任免信息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【姓名】【职务变动信息】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任免信息公布后15个工作日内公开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"https://www.bjxch.gov.cn/xxgk/zdly/jgxx/gyqyyyjg.html"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委机关人事、机构编制、干部队伍建设情况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机构设置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内设机构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【内设机构（处室）名称】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【职责】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委机关人事、机构编制、干部队伍建设情况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职能设置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法定职责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【依据“三定”方案及职责调整情况确定的本部门最新法定职责】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委机关人事、机构编制、干部队伍建设情况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干部信息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领导简历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【基本信息】【个人基本信息】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【工作分工】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【标准工作照】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实时公开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"https://www.bjxch.gov.cn/xxgk/jgzn.html"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政府网站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常规公开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463" w:right="1383" w:bottom="146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0ED0"/>
    <w:rsid w:val="35324327"/>
    <w:rsid w:val="37624BE8"/>
    <w:rsid w:val="6621470E"/>
    <w:rsid w:val="765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2022-08-10T08:44:00Z</dcterms:created>
  <dc:creator>lenovo</dc:creator>
  <cp:lastModifiedBy>shiyiming</cp:lastModifiedBy>
  <cp:lastPrinted>2022-08-12T08:42:25Z</cp:lastPrinted>
  <dcterms:modified xsi:type="dcterms:W3CDTF">2022-08-12T09:26:15Z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