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  <w:lang w:val="en-US" w:eastAsia="zh-CN"/>
        </w:rPr>
      </w:pPr>
      <w:bookmarkStart w:id="0" w:name="_Toc294790768"/>
      <w:r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  <w:lang w:val="en-US" w:eastAsia="zh-CN"/>
        </w:rPr>
        <w:t>北京市西城区信访办公室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rFonts w:hint="eastAsia"/>
          <w:b w:val="0"/>
          <w:bCs w:val="0"/>
          <w:color w:val="333333"/>
          <w:sz w:val="39"/>
          <w:szCs w:val="39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39"/>
          <w:szCs w:val="39"/>
          <w:lang w:val="en-US" w:eastAsia="zh-CN"/>
        </w:rPr>
        <w:t>2</w:t>
      </w:r>
      <w:r>
        <w:rPr>
          <w:b w:val="0"/>
          <w:bCs w:val="0"/>
          <w:color w:val="333333"/>
          <w:sz w:val="39"/>
          <w:szCs w:val="39"/>
        </w:rPr>
        <w:t>0</w:t>
      </w:r>
      <w:r>
        <w:rPr>
          <w:rFonts w:hint="eastAsia"/>
          <w:b w:val="0"/>
          <w:bCs w:val="0"/>
          <w:color w:val="333333"/>
          <w:sz w:val="39"/>
          <w:szCs w:val="39"/>
          <w:lang w:val="en-US" w:eastAsia="zh-CN"/>
        </w:rPr>
        <w:t>21</w:t>
      </w:r>
      <w:r>
        <w:rPr>
          <w:b w:val="0"/>
          <w:bCs w:val="0"/>
          <w:color w:val="333333"/>
          <w:sz w:val="39"/>
          <w:szCs w:val="39"/>
        </w:rPr>
        <w:t>年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度</w:t>
      </w:r>
      <w:r>
        <w:rPr>
          <w:b w:val="0"/>
          <w:bCs w:val="0"/>
          <w:color w:val="333333"/>
          <w:sz w:val="39"/>
          <w:szCs w:val="39"/>
        </w:rPr>
        <w:t>预算执行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及</w:t>
      </w:r>
      <w:r>
        <w:rPr>
          <w:b w:val="0"/>
          <w:bCs w:val="0"/>
          <w:color w:val="333333"/>
          <w:sz w:val="39"/>
          <w:szCs w:val="39"/>
        </w:rPr>
        <w:t>其他财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务</w:t>
      </w:r>
      <w:r>
        <w:rPr>
          <w:b w:val="0"/>
          <w:bCs w:val="0"/>
          <w:color w:val="333333"/>
          <w:sz w:val="39"/>
          <w:szCs w:val="39"/>
        </w:rPr>
        <w:t>收支</w:t>
      </w: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center"/>
        <w:textAlignment w:val="auto"/>
        <w:rPr>
          <w:b w:val="0"/>
          <w:bCs w:val="0"/>
          <w:color w:val="333333"/>
          <w:sz w:val="39"/>
          <w:szCs w:val="39"/>
        </w:rPr>
      </w:pPr>
      <w:r>
        <w:rPr>
          <w:rFonts w:hint="eastAsia"/>
          <w:b w:val="0"/>
          <w:bCs w:val="0"/>
          <w:color w:val="333333"/>
          <w:sz w:val="39"/>
          <w:szCs w:val="39"/>
          <w:lang w:eastAsia="zh-CN"/>
        </w:rPr>
        <w:t>的</w:t>
      </w:r>
      <w:r>
        <w:rPr>
          <w:b w:val="0"/>
          <w:bCs w:val="0"/>
          <w:color w:val="333333"/>
          <w:sz w:val="39"/>
          <w:szCs w:val="39"/>
        </w:rPr>
        <w:t>审计结果</w:t>
      </w:r>
      <w:r>
        <w:rPr>
          <w:rFonts w:hint="eastAsia"/>
          <w:b w:val="0"/>
          <w:bCs w:val="0"/>
          <w:color w:val="333333"/>
          <w:sz w:val="39"/>
          <w:szCs w:val="39"/>
        </w:rPr>
        <w:t>公告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根据《中华人民共和国审计法》的规定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北京市西城区审计局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对北京市西城区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信访办</w:t>
      </w:r>
      <w:r>
        <w:rPr>
          <w:rFonts w:hint="eastAsia" w:ascii="仿宋_GB2312" w:hAnsi="仿宋_GB2312" w:eastAsia="仿宋_GB2312" w:cs="仿宋_GB2312"/>
          <w:sz w:val="32"/>
          <w:szCs w:val="32"/>
        </w:rPr>
        <w:t>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预算执行和其他财务收支情况进行了审计。</w:t>
      </w:r>
    </w:p>
    <w:p>
      <w:pPr>
        <w:pStyle w:val="6"/>
        <w:spacing w:line="560" w:lineRule="exact"/>
      </w:pPr>
      <w:r>
        <w:rPr>
          <w:rFonts w:hint="eastAsia"/>
        </w:rPr>
        <w:t>一、基本情况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ahom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区信访办是北京市西城区政府主管本区信访工作的区政府工作部门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，是</w:t>
      </w:r>
      <w:r>
        <w:rPr>
          <w:rFonts w:hint="eastAsia" w:ascii="仿宋_GB2312" w:hAnsi="仿宋" w:eastAsia="仿宋_GB2312" w:cs="仿宋"/>
          <w:kern w:val="144"/>
          <w:sz w:val="32"/>
          <w:szCs w:val="32"/>
          <w:lang w:val="en-GB"/>
        </w:rPr>
        <w:t>区属一级预算单位</w:t>
      </w:r>
      <w:r>
        <w:rPr>
          <w:rFonts w:hint="eastAsia" w:ascii="仿宋_GB2312" w:hAnsi="仿宋" w:eastAsia="仿宋_GB2312" w:cs="仿宋"/>
          <w:kern w:val="144"/>
          <w:sz w:val="32"/>
          <w:szCs w:val="32"/>
          <w:lang w:val="en-GB" w:eastAsia="zh-CN"/>
        </w:rPr>
        <w:t>。</w:t>
      </w:r>
      <w:r>
        <w:rPr>
          <w:rFonts w:hint="eastAsia" w:ascii="仿宋_GB2312" w:hAnsi="楷体" w:eastAsia="仿宋_GB2312"/>
          <w:sz w:val="32"/>
          <w:szCs w:val="32"/>
        </w:rPr>
        <w:t>20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楷体" w:eastAsia="仿宋_GB2312"/>
          <w:sz w:val="32"/>
          <w:szCs w:val="32"/>
        </w:rPr>
        <w:t>年度</w:t>
      </w:r>
      <w:r>
        <w:rPr>
          <w:rFonts w:hint="eastAsia" w:ascii="仿宋_GB2312" w:hAnsi="Tahoma" w:eastAsia="仿宋_GB2312"/>
          <w:sz w:val="32"/>
          <w:szCs w:val="32"/>
          <w:highlight w:val="none"/>
        </w:rPr>
        <w:t>收入</w:t>
      </w:r>
      <w:r>
        <w:rPr>
          <w:rFonts w:hint="eastAsia" w:ascii="仿宋_GB2312" w:hAnsi="Tahoma" w:eastAsia="仿宋_GB2312"/>
          <w:sz w:val="32"/>
          <w:szCs w:val="32"/>
          <w:highlight w:val="none"/>
          <w:lang w:val="en-US" w:eastAsia="zh-CN"/>
        </w:rPr>
        <w:t>998.89</w:t>
      </w:r>
      <w:r>
        <w:rPr>
          <w:rFonts w:hint="eastAsia" w:ascii="仿宋_GB2312" w:hAnsi="Tahoma" w:eastAsia="仿宋_GB2312"/>
          <w:sz w:val="32"/>
          <w:szCs w:val="32"/>
          <w:highlight w:val="none"/>
        </w:rPr>
        <w:t>万</w:t>
      </w:r>
      <w:r>
        <w:rPr>
          <w:rFonts w:hint="eastAsia" w:ascii="仿宋_GB2312" w:hAnsi="Tahoma" w:eastAsia="仿宋_GB2312"/>
          <w:sz w:val="32"/>
          <w:szCs w:val="32"/>
        </w:rPr>
        <w:t>元</w:t>
      </w:r>
      <w:r>
        <w:rPr>
          <w:rFonts w:hint="eastAsia" w:ascii="仿宋_GB2312" w:hAnsi="Tahom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/>
          <w:sz w:val="32"/>
          <w:szCs w:val="32"/>
        </w:rPr>
        <w:t>支出</w:t>
      </w:r>
      <w:r>
        <w:rPr>
          <w:rFonts w:hint="eastAsia" w:ascii="仿宋_GB2312" w:hAnsi="Tahoma" w:eastAsia="仿宋_GB2312"/>
          <w:sz w:val="32"/>
          <w:szCs w:val="32"/>
          <w:lang w:val="en-US" w:eastAsia="zh-CN"/>
        </w:rPr>
        <w:t>998.89</w:t>
      </w:r>
      <w:r>
        <w:rPr>
          <w:rFonts w:hint="eastAsia" w:ascii="仿宋_GB2312" w:hAnsi="Tahoma" w:eastAsia="仿宋_GB2312"/>
          <w:sz w:val="32"/>
          <w:szCs w:val="32"/>
        </w:rPr>
        <w:t>万元，年末</w:t>
      </w:r>
      <w:r>
        <w:rPr>
          <w:rFonts w:hint="eastAsia" w:ascii="仿宋_GB2312" w:hAnsi="Tahoma"/>
          <w:sz w:val="32"/>
          <w:szCs w:val="32"/>
          <w:lang w:eastAsia="zh-CN"/>
        </w:rPr>
        <w:t>无</w:t>
      </w:r>
      <w:r>
        <w:rPr>
          <w:rFonts w:hint="eastAsia" w:ascii="仿宋_GB2312" w:hAnsi="Tahoma" w:eastAsia="仿宋_GB2312"/>
          <w:sz w:val="32"/>
          <w:szCs w:val="32"/>
        </w:rPr>
        <w:t>结余</w:t>
      </w:r>
      <w:r>
        <w:rPr>
          <w:rFonts w:hint="eastAsia" w:ascii="仿宋_GB2312" w:hAnsi="Tahom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审计结果表明，区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信访办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能够认真履行部门职责，落实完成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区委区政府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折子工程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及京津冀协同发展任务等专项任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务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能够</w:t>
      </w:r>
      <w:r>
        <w:rPr>
          <w:rFonts w:hint="eastAsia" w:ascii="仿宋_GB2312" w:eastAsia="仿宋_GB2312"/>
          <w:sz w:val="32"/>
          <w:szCs w:val="32"/>
          <w:highlight w:val="none"/>
        </w:rPr>
        <w:t>按照有关规定编制预算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utoSpaceDE w:val="0"/>
        <w:spacing w:line="560" w:lineRule="exact"/>
        <w:rPr>
          <w:rFonts w:ascii="黑体" w:eastAsia="黑体"/>
        </w:rPr>
      </w:pPr>
      <w:r>
        <w:rPr>
          <w:rFonts w:hint="eastAsia" w:ascii="黑体" w:hAnsi="黑体" w:eastAsia="黑体"/>
        </w:rPr>
        <w:t xml:space="preserve">    </w:t>
      </w:r>
      <w:r>
        <w:rPr>
          <w:rFonts w:hint="eastAsia" w:ascii="黑体" w:hAnsi="黑体" w:eastAsia="黑体"/>
          <w:lang w:eastAsia="zh-CN"/>
        </w:rPr>
        <w:t>二</w:t>
      </w:r>
      <w:r>
        <w:rPr>
          <w:rFonts w:hint="eastAsia" w:ascii="黑体" w:hAnsi="黑体" w:eastAsia="黑体"/>
        </w:rPr>
        <w:t>、审计发现的主要问题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（一）应</w:t>
      </w:r>
      <w:r>
        <w:rPr>
          <w:rFonts w:hint="eastAsia" w:ascii="仿宋_GB2312"/>
          <w:sz w:val="32"/>
          <w:szCs w:val="32"/>
          <w:lang w:val="en-US" w:eastAsia="zh-CN"/>
        </w:rPr>
        <w:t>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财政款未及时上缴区财政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（1）养老保险等未按实际列转形成结余未</w:t>
      </w:r>
      <w:r>
        <w:rPr>
          <w:rFonts w:hint="eastAsia" w:ascii="仿宋_GB2312"/>
          <w:sz w:val="32"/>
          <w:szCs w:val="32"/>
          <w:lang w:val="en-US" w:eastAsia="zh-CN"/>
        </w:rPr>
        <w:t>及时上缴区财政</w:t>
      </w:r>
      <w:r>
        <w:rPr>
          <w:rFonts w:hint="eastAsia" w:ascii="仿宋_GB231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（2）生育津贴未</w:t>
      </w:r>
      <w:r>
        <w:rPr>
          <w:rFonts w:hint="eastAsia" w:ascii="仿宋_GB2312"/>
          <w:sz w:val="32"/>
          <w:szCs w:val="32"/>
          <w:lang w:val="en-US" w:eastAsia="zh-CN"/>
        </w:rPr>
        <w:t>及时上缴区财政</w:t>
      </w:r>
      <w:r>
        <w:rPr>
          <w:rFonts w:hint="eastAsia" w:ascii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（3）利息收入未上缴</w:t>
      </w:r>
      <w:r>
        <w:rPr>
          <w:rFonts w:hint="eastAsia" w:ascii="仿宋_GB2312"/>
          <w:sz w:val="32"/>
          <w:szCs w:val="32"/>
          <w:lang w:val="en-US" w:eastAsia="zh-CN"/>
        </w:rPr>
        <w:t>区财政</w:t>
      </w:r>
      <w:r>
        <w:rPr>
          <w:rFonts w:hint="eastAsia" w:ascii="仿宋_GB2312"/>
          <w:lang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政府购买服务</w:t>
      </w:r>
      <w:r>
        <w:rPr>
          <w:rFonts w:hint="eastAsia" w:ascii="仿宋_GB2312" w:hAnsi="仿宋" w:eastAsia="仿宋_GB2312"/>
          <w:sz w:val="32"/>
          <w:szCs w:val="32"/>
        </w:rPr>
        <w:t>目录范围委托第三方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进行档案整理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（三）固定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资产管理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不到位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hint="eastAsia" w:ascii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eastAsia="仿宋_GB2312" w:cs="仿宋_GB2312"/>
          <w:sz w:val="32"/>
          <w:szCs w:val="32"/>
        </w:rPr>
        <w:t>购置设备未入固定资产账</w:t>
      </w:r>
      <w:r>
        <w:rPr>
          <w:rFonts w:hint="eastAsia" w:ascii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办公设备超标准配置</w:t>
      </w:r>
      <w:r>
        <w:rPr>
          <w:rFonts w:hint="eastAsia" w:ascii="仿宋_GB2312"/>
          <w:lang w:eastAsia="zh-CN"/>
        </w:rPr>
        <w:t>。</w:t>
      </w:r>
    </w:p>
    <w:p>
      <w:pPr>
        <w:snapToGrid w:val="0"/>
        <w:spacing w:line="560" w:lineRule="exact"/>
        <w:ind w:firstLine="640"/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仿宋" w:eastAsia="黑体" w:cs="黑体"/>
          <w:sz w:val="32"/>
          <w:szCs w:val="32"/>
        </w:rPr>
        <w:t>审计处理和初步整改情况</w:t>
      </w:r>
    </w:p>
    <w:p>
      <w:pPr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上述问题，</w:t>
      </w:r>
      <w:r>
        <w:rPr>
          <w:rFonts w:hint="eastAsia" w:ascii="仿宋_GB2312" w:eastAsia="仿宋_GB2312"/>
          <w:sz w:val="32"/>
          <w:szCs w:val="32"/>
          <w:lang w:eastAsia="zh-CN"/>
        </w:rPr>
        <w:t>西城区审计</w:t>
      </w:r>
      <w:r>
        <w:rPr>
          <w:rFonts w:hint="eastAsia" w:ascii="仿宋_GB2312" w:eastAsia="仿宋_GB2312"/>
          <w:sz w:val="32"/>
          <w:szCs w:val="32"/>
        </w:rPr>
        <w:t>局建议区</w:t>
      </w:r>
      <w:r>
        <w:rPr>
          <w:rFonts w:hint="eastAsia" w:ascii="仿宋_GB2312"/>
          <w:sz w:val="32"/>
          <w:szCs w:val="32"/>
          <w:lang w:eastAsia="zh-CN"/>
        </w:rPr>
        <w:t>信访办</w:t>
      </w:r>
      <w:r>
        <w:rPr>
          <w:rFonts w:hint="eastAsia" w:ascii="仿宋_GB2312" w:hAnsi="仿宋" w:eastAsia="仿宋_GB2312"/>
          <w:sz w:val="32"/>
          <w:szCs w:val="32"/>
        </w:rPr>
        <w:t>规范财务基础工作</w:t>
      </w:r>
      <w:r>
        <w:rPr>
          <w:rFonts w:hint="eastAsia" w:ascii="仿宋_GB2312" w:hAnsi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严格</w:t>
      </w:r>
      <w:r>
        <w:rPr>
          <w:rFonts w:hint="eastAsia" w:ascii="仿宋_GB2312" w:hAnsi="仿宋" w:eastAsia="仿宋_GB2312"/>
          <w:sz w:val="32"/>
          <w:szCs w:val="32"/>
        </w:rPr>
        <w:t>落实政府购买服务的相关规定</w:t>
      </w:r>
      <w:r>
        <w:rPr>
          <w:rFonts w:hint="eastAsia" w:ascii="仿宋_GB2312" w:hAnsi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加强固定资产核算管理工作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针对本次审计发现的问题，</w:t>
      </w:r>
      <w:r>
        <w:rPr>
          <w:rFonts w:hint="eastAsia" w:ascii="仿宋_GB2312" w:eastAsia="仿宋_GB2312"/>
          <w:sz w:val="32"/>
          <w:szCs w:val="32"/>
          <w:highlight w:val="none"/>
        </w:rPr>
        <w:t>区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信访办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予以高度重视，审计反映问题正在整改中。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DBmNTYxMjBmM2Q1ZGZjYjE4Y2ZmMWI4MDhlOWMifQ=="/>
  </w:docVars>
  <w:rsids>
    <w:rsidRoot w:val="00000000"/>
    <w:rsid w:val="304809C9"/>
    <w:rsid w:val="327023F4"/>
    <w:rsid w:val="387726E7"/>
    <w:rsid w:val="3A9C4D59"/>
    <w:rsid w:val="543A3A17"/>
    <w:rsid w:val="68EC3C2B"/>
    <w:rsid w:val="7DD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一、正文一级小标题"/>
    <w:basedOn w:val="1"/>
    <w:next w:val="1"/>
    <w:qFormat/>
    <w:uiPriority w:val="0"/>
    <w:pPr>
      <w:adjustRightInd w:val="0"/>
      <w:snapToGrid w:val="0"/>
      <w:spacing w:line="579" w:lineRule="exact"/>
      <w:ind w:firstLine="640" w:firstLineChars="200"/>
      <w:textAlignment w:val="baseline"/>
      <w:outlineLvl w:val="1"/>
    </w:pPr>
    <w:rPr>
      <w:rFonts w:ascii="黑体" w:eastAsia="黑体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539</Characters>
  <Lines>0</Lines>
  <Paragraphs>0</Paragraphs>
  <TotalTime>0</TotalTime>
  <ScaleCrop>false</ScaleCrop>
  <LinksUpToDate>false</LinksUpToDate>
  <CharactersWithSpaces>544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2022-07-27T02:04:00Z</dcterms:created>
  <dc:creator>john</dc:creator>
  <cp:lastModifiedBy>赵永华</cp:lastModifiedBy>
  <dcterms:modified xsi:type="dcterms:W3CDTF">2022-08-15T06:08:36Z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04F6F79C953B4AD4993C499F56C6A160</vt:lpwstr>
  </property>
</Properties>
</file>