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bidi w:val="0"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b w:val="0"/>
          <w:bCs w:val="0"/>
          <w:color w:val="333333"/>
          <w:sz w:val="39"/>
          <w:szCs w:val="39"/>
        </w:rPr>
      </w:pPr>
      <w:r>
        <w:rPr>
          <w:rFonts w:asciiTheme="minorHAnsi" w:eastAsiaTheme="minorEastAsia"/>
          <w:color w:val="333333"/>
          <w:sz w:val="39"/>
          <w:szCs w:val="39"/>
          <w:lang w:val="zh-CN"/>
        </w:rPr>
        <w:t>4</w:t>
      </w:r>
      <w:r>
        <w:rPr>
          <w:rFonts w:asciiTheme="minorHAnsi" w:eastAsiaTheme="minorEastAsia"/>
          <w:color w:val="333333"/>
          <w:sz w:val="39"/>
          <w:szCs w:val="39"/>
        </w:rPr>
        <w:t>5</w:t>
      </w:r>
      <w:r>
        <w:rPr>
          <w:rFonts w:hint="default" w:asciiTheme="minorHAnsi" w:eastAsiaTheme="minorEastAsia"/>
          <w:color w:val="333333"/>
          <w:sz w:val="39"/>
          <w:szCs w:val="39"/>
        </w:rPr>
        <w:t>个</w:t>
      </w:r>
      <w:r>
        <w:rPr>
          <w:rFonts w:hint="default" w:asciiTheme="minorHAnsi" w:eastAsiaTheme="minorEastAsia"/>
          <w:color w:val="333333"/>
          <w:sz w:val="39"/>
          <w:szCs w:val="39"/>
          <w:lang w:val="zh-CN"/>
        </w:rPr>
        <w:t>区属</w:t>
      </w:r>
      <w:r>
        <w:rPr>
          <w:b w:val="0"/>
          <w:bCs w:val="0"/>
          <w:color w:val="333333"/>
          <w:sz w:val="39"/>
          <w:szCs w:val="39"/>
        </w:rPr>
        <w:t>一级预算单位20</w:t>
      </w:r>
      <w:r>
        <w:rPr>
          <w:rFonts w:hint="default"/>
          <w:b w:val="0"/>
          <w:bCs w:val="0"/>
          <w:color w:val="333333"/>
          <w:sz w:val="39"/>
          <w:szCs w:val="39"/>
          <w:lang w:val="en-US" w:eastAsia="zh-CN"/>
        </w:rPr>
        <w:t>21</w:t>
      </w:r>
      <w:r>
        <w:rPr>
          <w:b w:val="0"/>
          <w:bCs w:val="0"/>
          <w:color w:val="333333"/>
          <w:sz w:val="39"/>
          <w:szCs w:val="39"/>
        </w:rPr>
        <w:t>年度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tabs>
          <w:tab w:val="left" w:pos="2205"/>
          <w:tab w:val="left" w:pos="724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50" w:beforeAutospacing="0" w:after="450" w:afterAutospacing="0" w:line="560" w:lineRule="exact"/>
        <w:ind w:left="-113" w:right="0" w:firstLine="0" w:firstLineChars="0"/>
        <w:jc w:val="center"/>
        <w:textAlignment w:val="auto"/>
        <w:rPr>
          <w:b w:val="0"/>
          <w:bCs w:val="0"/>
          <w:color w:val="333333"/>
          <w:sz w:val="39"/>
          <w:szCs w:val="39"/>
        </w:rPr>
      </w:pPr>
      <w:r>
        <w:rPr>
          <w:rFonts w:hint="default" w:asciiTheme="minorHAnsi" w:eastAsiaTheme="minorEastAsia"/>
          <w:color w:val="333333"/>
          <w:sz w:val="39"/>
          <w:szCs w:val="39"/>
          <w:lang w:val="zh-CN"/>
        </w:rPr>
        <w:t>部门预算执行数据分析</w:t>
      </w:r>
      <w:r>
        <w:rPr>
          <w:rFonts w:hint="eastAsia"/>
          <w:color w:val="333333"/>
          <w:sz w:val="39"/>
          <w:szCs w:val="39"/>
          <w:lang w:val="zh-CN" w:eastAsia="zh-CN"/>
        </w:rPr>
        <w:t>的</w:t>
      </w:r>
      <w:r>
        <w:rPr>
          <w:b w:val="0"/>
          <w:bCs w:val="0"/>
          <w:color w:val="333333"/>
          <w:sz w:val="39"/>
          <w:szCs w:val="39"/>
        </w:rPr>
        <w:t>审计结果</w:t>
      </w:r>
      <w:r>
        <w:rPr>
          <w:rFonts w:hint="eastAsia"/>
          <w:b w:val="0"/>
          <w:bCs w:val="0"/>
          <w:color w:val="333333"/>
          <w:sz w:val="39"/>
          <w:szCs w:val="39"/>
        </w:rPr>
        <w:t>公告</w:t>
      </w:r>
      <w:bookmarkStart w:id="0" w:name="_GoBack"/>
      <w:bookmarkEnd w:id="0"/>
    </w:p>
    <w:p/>
    <w:p>
      <w:pPr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根据《中华人民共和国审计法》和《北京市审计条例》的规定，2022年5月5日至2022年6月10日，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西城区审计局依据西城区财政总预算会计数据、指标数据、资产数据、国库集中支付数据和单位电子财务账套等，运用数据分析模型，对45个区属一级预算单位(以下简称区属单位)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年度预算执行数据分析情况进行了审计。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一、基本情况</w:t>
      </w:r>
    </w:p>
    <w:p>
      <w:pPr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2021年度，45个区属单位预算共计990346.56万元，支出完成936120.09万元。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审计结果表明，45个区属单位2021年度预算执行基本遵守预算法及相关法律法规，预算执行情况较好。预算编制的总体质量进一步提高，资金使用更加规范，国库集中支付全覆盖意识进一步加强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过“紧日子”意识较强。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审计发现的主要问题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（一）部门预算编制类问题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1.5个单位连续两年安排同样预算项目执行率均低于50%且项目预算资金未做调减，涉及9个项目。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2.4个单位连续三年安排相同的预算项目且执行率均低于70%，涉及5个项目。  </w:t>
      </w:r>
    </w:p>
    <w:p>
      <w:pPr>
        <w:numPr>
          <w:ilvl w:val="255"/>
          <w:numId w:val="0"/>
        </w:numPr>
        <w:spacing w:line="560" w:lineRule="exact"/>
        <w:ind w:left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3.21个单位《项目支出绩效目标申报表》数量指标填报不规范。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（二）部门预算执行类问题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1.24个单位年初安排的预算项目执行率低于50%，涉及1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2.3个单位年中追加预算项目执行率低于50%，涉及9个项目。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3.15个单位前三季度（其中第三季度截止到10月底）支出进度均未达到文件规定比例。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4.18个单位2021年一般性支出占本部门一般公共预算支出占比高于2020年。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（三）往来款长期挂账类问题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个单位其他应付款科目中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项目结余及挂账两年以上的存量资金。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（四）国库集中支付和资产管理类问题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未按规定进行固定资产计提折旧。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,1个单位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使用预留机动费支付劳务费，涉及1个项目。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5个单位使用现金支出未按规定使用公务卡结算。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4.4个单位信息化项目购买（开发）软件未纳入资产核算，涉及31个项目元。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（五）其他政策执行类问题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2个单位未按要求公开政府购买服务预算，涉及15个项目。</w:t>
      </w:r>
    </w:p>
    <w:p>
      <w:pPr>
        <w:snapToGrid w:val="0"/>
        <w:spacing w:line="560" w:lineRule="exact"/>
        <w:ind w:firstLine="640"/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仿宋" w:eastAsia="黑体" w:cs="黑体"/>
          <w:sz w:val="32"/>
          <w:szCs w:val="32"/>
        </w:rPr>
        <w:t>审计处理和初步整改情况</w:t>
      </w:r>
    </w:p>
    <w:p>
      <w:pPr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上述问题，</w:t>
      </w:r>
      <w:r>
        <w:rPr>
          <w:rFonts w:hint="eastAsia" w:ascii="仿宋_GB2312" w:eastAsia="仿宋_GB2312"/>
          <w:sz w:val="32"/>
          <w:szCs w:val="32"/>
          <w:lang w:eastAsia="zh-CN"/>
        </w:rPr>
        <w:t>西城区审计</w:t>
      </w:r>
      <w:r>
        <w:rPr>
          <w:rFonts w:hint="eastAsia" w:ascii="仿宋_GB2312" w:eastAsia="仿宋_GB2312"/>
          <w:sz w:val="32"/>
          <w:szCs w:val="32"/>
        </w:rPr>
        <w:t>局建议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相关单位应加强预算编制管理，提高预算编制的真实性、准确性和科学性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制定科学的用款计划，合理安排支出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加强往来款的管理，对于长期挂账的往来款要及时清理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加强财务管理，规范预留机动费的使用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加强内部财务管理，提高国库集中支付全覆盖的意识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加强资产管理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针对本次审计发现的问题，</w:t>
      </w:r>
      <w:r>
        <w:rPr>
          <w:rFonts w:hint="eastAsia" w:ascii="仿宋_GB2312" w:hAnsi="楷体" w:eastAsia="仿宋_GB2312"/>
          <w:bCs/>
          <w:sz w:val="32"/>
          <w:szCs w:val="32"/>
          <w:highlight w:val="none"/>
          <w:lang w:val="en-US" w:eastAsia="zh-CN"/>
        </w:rPr>
        <w:t>相关单位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予以高度重视，审计反映问题正在整改中。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仿宋_GB2312" w:cs="黑体"/>
          <w:b w:val="0"/>
          <w:bCs w:val="0"/>
          <w:sz w:val="32"/>
          <w:szCs w:val="32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enter" w:pos="4482"/>
        <w:tab w:val="left" w:pos="7130"/>
      </w:tabs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DBmNTYxMjBmM2Q1ZGZjYjE4Y2ZmMWI4MDhlOWMifQ=="/>
  </w:docVars>
  <w:rsids>
    <w:rsidRoot w:val="00000000"/>
    <w:rsid w:val="1BE87589"/>
    <w:rsid w:val="4F1C6621"/>
    <w:rsid w:val="54A03C03"/>
    <w:rsid w:val="623B4628"/>
    <w:rsid w:val="6E7603A0"/>
    <w:rsid w:val="7D9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1023</Characters>
  <Lines>0</Lines>
  <Paragraphs>0</Paragraphs>
  <TotalTime>3</TotalTime>
  <ScaleCrop>false</ScaleCrop>
  <LinksUpToDate>false</LinksUpToDate>
  <CharactersWithSpaces>1036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2022-07-27T05:10:00Z</dcterms:created>
  <dc:creator>john</dc:creator>
  <cp:lastModifiedBy>赵永华</cp:lastModifiedBy>
  <dcterms:modified xsi:type="dcterms:W3CDTF">2022-08-15T06:11:02Z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71016524B94346DEB514EA5ABC717B75</vt:lpwstr>
  </property>
</Properties>
</file>