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方正小标宋简体" w:cs="方正小标宋简体"/>
          <w:b w:val="0"/>
          <w:bCs w:val="0"/>
          <w:color w:val="auto"/>
          <w:sz w:val="44"/>
          <w:szCs w:val="44"/>
          <w:lang w:val="zh-CN"/>
        </w:rPr>
      </w:pPr>
      <w:r>
        <w:rPr>
          <w:rFonts w:hint="eastAsia" w:ascii="宋体" w:hAnsi="宋体" w:eastAsia="方正小标宋简体" w:cs="方正小标宋简体"/>
          <w:b w:val="0"/>
          <w:bCs w:val="0"/>
          <w:color w:val="auto"/>
          <w:sz w:val="44"/>
          <w:szCs w:val="44"/>
          <w:lang w:val="zh-CN"/>
        </w:rPr>
        <w:t>关于西城区20</w:t>
      </w:r>
      <w:r>
        <w:rPr>
          <w:rFonts w:hint="eastAsia" w:ascii="宋体" w:hAnsi="宋体" w:eastAsia="方正小标宋简体" w:cs="方正小标宋简体"/>
          <w:b w:val="0"/>
          <w:bCs w:val="0"/>
          <w:color w:val="auto"/>
          <w:sz w:val="44"/>
          <w:szCs w:val="44"/>
        </w:rPr>
        <w:t>2</w:t>
      </w:r>
      <w:r>
        <w:rPr>
          <w:rFonts w:hint="eastAsia" w:ascii="宋体" w:hAnsi="宋体" w:eastAsia="方正小标宋简体" w:cs="方正小标宋简体"/>
          <w:b w:val="0"/>
          <w:bCs w:val="0"/>
          <w:color w:val="auto"/>
          <w:sz w:val="44"/>
          <w:szCs w:val="44"/>
          <w:lang w:val="en-US" w:eastAsia="zh-CN"/>
        </w:rPr>
        <w:t>1</w:t>
      </w:r>
      <w:r>
        <w:rPr>
          <w:rFonts w:hint="eastAsia" w:ascii="宋体" w:hAnsi="宋体" w:eastAsia="方正小标宋简体" w:cs="方正小标宋简体"/>
          <w:b w:val="0"/>
          <w:bCs w:val="0"/>
          <w:color w:val="auto"/>
          <w:sz w:val="44"/>
          <w:szCs w:val="44"/>
          <w:lang w:val="zh-CN"/>
        </w:rPr>
        <w:t>年</w:t>
      </w:r>
      <w:r>
        <w:rPr>
          <w:rFonts w:hint="eastAsia" w:ascii="宋体" w:hAnsi="宋体" w:eastAsia="方正小标宋简体" w:cs="方正小标宋简体"/>
          <w:b w:val="0"/>
          <w:bCs w:val="0"/>
          <w:color w:val="auto"/>
          <w:sz w:val="44"/>
          <w:szCs w:val="44"/>
        </w:rPr>
        <w:t>度</w:t>
      </w:r>
      <w:r>
        <w:rPr>
          <w:rFonts w:hint="eastAsia" w:ascii="宋体" w:hAnsi="宋体" w:eastAsia="方正小标宋简体" w:cs="方正小标宋简体"/>
          <w:b w:val="0"/>
          <w:bCs w:val="0"/>
          <w:color w:val="auto"/>
          <w:sz w:val="44"/>
          <w:szCs w:val="44"/>
          <w:lang w:val="zh-CN"/>
        </w:rPr>
        <w:t>财政预算执行和其他</w:t>
      </w:r>
    </w:p>
    <w:p>
      <w:pPr>
        <w:pStyle w:val="11"/>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方正小标宋简体" w:cs="方正小标宋简体"/>
          <w:b w:val="0"/>
          <w:bCs w:val="0"/>
          <w:color w:val="auto"/>
          <w:sz w:val="44"/>
          <w:szCs w:val="44"/>
          <w:lang w:val="zh-CN"/>
        </w:rPr>
      </w:pPr>
      <w:r>
        <w:rPr>
          <w:rFonts w:hint="eastAsia" w:ascii="宋体" w:hAnsi="宋体" w:eastAsia="方正小标宋简体" w:cs="方正小标宋简体"/>
          <w:b w:val="0"/>
          <w:bCs w:val="0"/>
          <w:color w:val="auto"/>
          <w:sz w:val="44"/>
          <w:szCs w:val="44"/>
          <w:lang w:val="zh-CN"/>
        </w:rPr>
        <w:t>财政收支情况的审计工作报告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Times New Roman"/>
          <w:b w:val="0"/>
          <w:bCs w:val="0"/>
          <w:color w:val="auto"/>
          <w:sz w:val="32"/>
          <w:szCs w:val="32"/>
          <w:highlight w:val="none"/>
          <w:u w:val="none"/>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b w:val="0"/>
          <w:bCs w:val="0"/>
          <w:color w:val="auto"/>
          <w:sz w:val="32"/>
          <w:szCs w:val="32"/>
          <w:highlight w:val="none"/>
          <w:u w:val="none"/>
          <w:lang w:val="zh-CN"/>
        </w:rPr>
      </w:pPr>
      <w:r>
        <w:rPr>
          <w:rFonts w:hint="eastAsia" w:ascii="宋体" w:hAnsi="宋体" w:eastAsia="仿宋_GB2312" w:cs="Times New Roman"/>
          <w:b w:val="0"/>
          <w:bCs w:val="0"/>
          <w:color w:val="auto"/>
          <w:sz w:val="32"/>
          <w:szCs w:val="32"/>
          <w:highlight w:val="none"/>
          <w:u w:val="none"/>
          <w:lang w:val="zh-CN"/>
        </w:rPr>
        <w:t>根据《中华人民共和国审计法》《北京市审计条例》《北京市西城区预算审查监督办法》等规定，区审计局依法审计了202</w:t>
      </w:r>
      <w:r>
        <w:rPr>
          <w:rFonts w:hint="eastAsia" w:ascii="宋体" w:hAnsi="宋体" w:eastAsia="仿宋_GB2312" w:cs="Times New Roman"/>
          <w:b w:val="0"/>
          <w:bCs w:val="0"/>
          <w:color w:val="auto"/>
          <w:sz w:val="32"/>
          <w:szCs w:val="32"/>
          <w:highlight w:val="none"/>
          <w:u w:val="none"/>
          <w:lang w:val="en-US" w:eastAsia="zh-CN"/>
        </w:rPr>
        <w:t>1</w:t>
      </w:r>
      <w:r>
        <w:rPr>
          <w:rFonts w:hint="eastAsia" w:ascii="宋体" w:hAnsi="宋体" w:eastAsia="仿宋_GB2312" w:cs="Times New Roman"/>
          <w:b w:val="0"/>
          <w:bCs w:val="0"/>
          <w:color w:val="auto"/>
          <w:sz w:val="32"/>
          <w:szCs w:val="32"/>
          <w:highlight w:val="none"/>
          <w:u w:val="none"/>
          <w:lang w:val="zh-CN"/>
        </w:rPr>
        <w:t>年度区级预算执行和其他财政收支情况。</w:t>
      </w:r>
      <w:r>
        <w:rPr>
          <w:rFonts w:hint="eastAsia" w:ascii="宋体" w:hAnsi="宋体" w:eastAsia="仿宋_GB2312" w:cs="仿宋_GB2312"/>
          <w:b w:val="0"/>
          <w:bCs w:val="0"/>
          <w:color w:val="auto"/>
          <w:sz w:val="32"/>
          <w:szCs w:val="32"/>
          <w:highlight w:val="none"/>
          <w:u w:val="none"/>
          <w:lang w:val="zh-CN"/>
        </w:rPr>
        <w:t>审计结果表明，在区委区政府的坚强领导下，各部门各单位全面贯彻落实党的十九大和十九届历次全会精神，学习贯彻落实习近平总书记对北京重要讲话精神，扎实做好“六稳”工作，全面落实“六保”任务，统筹抓好新冠肺炎疫情防控和经济社会发展，</w:t>
      </w:r>
      <w:r>
        <w:rPr>
          <w:rFonts w:hint="eastAsia" w:ascii="宋体" w:hAnsi="宋体" w:eastAsia="仿宋_GB2312" w:cs="仿宋_GB2312"/>
          <w:b w:val="0"/>
          <w:bCs w:val="0"/>
          <w:color w:val="auto"/>
          <w:sz w:val="32"/>
          <w:szCs w:val="32"/>
          <w:highlight w:val="none"/>
          <w:u w:val="none"/>
          <w:lang w:val="en-US" w:eastAsia="zh-CN"/>
        </w:rPr>
        <w:t>较好地完成了全年目标任务，</w:t>
      </w:r>
      <w:r>
        <w:rPr>
          <w:rFonts w:hint="eastAsia" w:ascii="宋体" w:hAnsi="宋体" w:eastAsia="仿宋_GB2312" w:cs="仿宋_GB2312"/>
          <w:b w:val="0"/>
          <w:bCs w:val="0"/>
          <w:color w:val="auto"/>
          <w:sz w:val="32"/>
          <w:szCs w:val="32"/>
          <w:highlight w:val="none"/>
          <w:u w:val="none"/>
          <w:lang w:val="zh-CN"/>
        </w:rPr>
        <w:t>实现“十四五”良好开局。</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zh-CN"/>
        </w:rPr>
      </w:pPr>
      <w:r>
        <w:rPr>
          <w:rFonts w:hint="eastAsia" w:ascii="宋体" w:hAnsi="宋体" w:eastAsia="楷体" w:cs="楷体"/>
          <w:b w:val="0"/>
          <w:bCs w:val="0"/>
          <w:color w:val="auto"/>
          <w:sz w:val="32"/>
          <w:szCs w:val="32"/>
          <w:highlight w:val="none"/>
          <w:u w:val="none"/>
          <w:lang w:val="zh-CN"/>
        </w:rPr>
        <w:t>——财政收入稳步增长。</w:t>
      </w:r>
      <w:r>
        <w:rPr>
          <w:rFonts w:hint="eastAsia" w:ascii="宋体" w:hAnsi="宋体" w:eastAsia="仿宋_GB2312" w:cs="仿宋_GB2312"/>
          <w:b w:val="0"/>
          <w:bCs w:val="0"/>
          <w:color w:val="auto"/>
          <w:highlight w:val="none"/>
          <w:u w:val="none"/>
          <w:lang w:val="zh-CN"/>
        </w:rPr>
        <w:t>一般公共预算区级收入同比增长3.44%</w:t>
      </w:r>
      <w:r>
        <w:rPr>
          <w:rFonts w:hint="eastAsia" w:eastAsia="仿宋_GB2312" w:cs="仿宋_GB2312"/>
          <w:b w:val="0"/>
          <w:bCs w:val="0"/>
          <w:color w:val="auto"/>
          <w:highlight w:val="none"/>
          <w:u w:val="none"/>
          <w:lang w:val="zh-CN"/>
        </w:rPr>
        <w:t>，</w:t>
      </w:r>
      <w:r>
        <w:rPr>
          <w:rFonts w:hint="eastAsia" w:ascii="宋体" w:hAnsi="宋体" w:eastAsia="仿宋_GB2312" w:cs="仿宋_GB2312"/>
          <w:b w:val="0"/>
          <w:bCs w:val="0"/>
          <w:color w:val="auto"/>
          <w:highlight w:val="none"/>
          <w:u w:val="none"/>
          <w:lang w:val="zh-CN"/>
        </w:rPr>
        <w:t>其中税收收入同比增长4.78%。</w:t>
      </w:r>
      <w:r>
        <w:rPr>
          <w:rFonts w:hint="eastAsia" w:ascii="仿宋_GB2312" w:hAnsi="仿宋_GB2312" w:eastAsia="仿宋_GB2312" w:cs="仿宋_GB2312"/>
          <w:b w:val="0"/>
          <w:bCs w:val="0"/>
          <w:color w:val="auto"/>
          <w:highlight w:val="none"/>
          <w:u w:val="none"/>
          <w:lang w:val="en-US" w:eastAsia="zh-CN"/>
        </w:rPr>
        <w:t>财</w:t>
      </w:r>
      <w:r>
        <w:rPr>
          <w:rFonts w:hint="eastAsia" w:ascii="仿宋_GB2312" w:hAnsi="仿宋_GB2312" w:eastAsia="仿宋_GB2312" w:cs="仿宋_GB2312"/>
          <w:b w:val="0"/>
          <w:bCs w:val="0"/>
          <w:color w:val="auto"/>
          <w:sz w:val="32"/>
          <w:szCs w:val="32"/>
          <w:highlight w:val="none"/>
          <w:u w:val="none"/>
          <w:lang w:val="zh-CN"/>
        </w:rPr>
        <w:t>政收</w:t>
      </w:r>
      <w:r>
        <w:rPr>
          <w:rFonts w:hint="eastAsia" w:ascii="宋体" w:hAnsi="宋体" w:eastAsia="仿宋_GB2312" w:cs="仿宋_GB2312"/>
          <w:b w:val="0"/>
          <w:bCs w:val="0"/>
          <w:color w:val="auto"/>
          <w:sz w:val="32"/>
          <w:szCs w:val="32"/>
          <w:highlight w:val="none"/>
          <w:u w:val="none"/>
          <w:lang w:val="zh-CN"/>
        </w:rPr>
        <w:t>入具有较强的稳定性，为全</w:t>
      </w:r>
      <w:r>
        <w:rPr>
          <w:rFonts w:hint="eastAsia" w:ascii="宋体" w:hAnsi="宋体" w:eastAsia="仿宋_GB2312" w:cs="仿宋_GB2312"/>
          <w:b w:val="0"/>
          <w:bCs w:val="0"/>
          <w:color w:val="auto"/>
          <w:sz w:val="32"/>
          <w:szCs w:val="32"/>
          <w:highlight w:val="none"/>
          <w:u w:val="none"/>
          <w:lang w:val="en-US" w:eastAsia="zh-CN"/>
        </w:rPr>
        <w:t>区</w:t>
      </w:r>
      <w:r>
        <w:rPr>
          <w:rFonts w:hint="eastAsia" w:ascii="宋体" w:hAnsi="宋体" w:eastAsia="仿宋_GB2312" w:cs="仿宋_GB2312"/>
          <w:b w:val="0"/>
          <w:bCs w:val="0"/>
          <w:color w:val="auto"/>
          <w:sz w:val="32"/>
          <w:szCs w:val="32"/>
          <w:highlight w:val="none"/>
          <w:u w:val="none"/>
          <w:lang w:val="zh-CN"/>
        </w:rPr>
        <w:t>经济社会发展提供了有力保障。</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highlight w:val="none"/>
          <w:u w:val="none"/>
          <w:lang w:val="zh-CN"/>
        </w:rPr>
      </w:pPr>
      <w:r>
        <w:rPr>
          <w:rFonts w:hint="eastAsia" w:ascii="宋体" w:hAnsi="宋体" w:eastAsia="楷体" w:cs="楷体"/>
          <w:b w:val="0"/>
          <w:bCs w:val="0"/>
          <w:color w:val="auto"/>
          <w:sz w:val="32"/>
          <w:szCs w:val="32"/>
          <w:highlight w:val="none"/>
          <w:u w:val="none"/>
          <w:lang w:val="zh-CN"/>
        </w:rPr>
        <w:t>——</w:t>
      </w:r>
      <w:r>
        <w:rPr>
          <w:rFonts w:hint="eastAsia" w:ascii="宋体" w:hAnsi="宋体" w:eastAsia="楷体" w:cs="楷体"/>
          <w:b w:val="0"/>
          <w:bCs w:val="0"/>
          <w:color w:val="auto"/>
          <w:highlight w:val="none"/>
          <w:u w:val="none"/>
          <w:lang w:val="zh-CN"/>
        </w:rPr>
        <w:t>财政运行</w:t>
      </w:r>
      <w:r>
        <w:rPr>
          <w:rFonts w:hint="eastAsia" w:ascii="宋体" w:hAnsi="宋体" w:eastAsia="楷体" w:cs="楷体"/>
          <w:b w:val="0"/>
          <w:bCs w:val="0"/>
          <w:color w:val="auto"/>
          <w:highlight w:val="none"/>
          <w:u w:val="none"/>
          <w:lang w:val="en-US" w:eastAsia="zh-CN"/>
        </w:rPr>
        <w:t>保持稳健</w:t>
      </w:r>
      <w:r>
        <w:rPr>
          <w:rFonts w:hint="eastAsia" w:ascii="宋体" w:hAnsi="宋体" w:eastAsia="楷体" w:cs="楷体"/>
          <w:b w:val="0"/>
          <w:bCs w:val="0"/>
          <w:color w:val="auto"/>
          <w:highlight w:val="none"/>
          <w:u w:val="none"/>
          <w:lang w:val="zh-CN"/>
        </w:rPr>
        <w:t>。</w:t>
      </w:r>
      <w:r>
        <w:rPr>
          <w:rFonts w:hint="eastAsia" w:ascii="宋体" w:hAnsi="宋体" w:eastAsia="仿宋_GB2312"/>
          <w:b w:val="0"/>
          <w:bCs w:val="0"/>
          <w:color w:val="auto"/>
          <w:kern w:val="0"/>
          <w:sz w:val="32"/>
          <w:szCs w:val="32"/>
          <w:highlight w:val="none"/>
          <w:u w:val="none"/>
        </w:rPr>
        <w:t>一般公共预算支出</w:t>
      </w:r>
      <w:r>
        <w:rPr>
          <w:rFonts w:hint="eastAsia" w:ascii="宋体" w:hAnsi="宋体" w:eastAsia="仿宋_GB2312"/>
          <w:b w:val="0"/>
          <w:bCs w:val="0"/>
          <w:color w:val="auto"/>
          <w:kern w:val="0"/>
          <w:sz w:val="32"/>
          <w:szCs w:val="32"/>
          <w:highlight w:val="none"/>
          <w:u w:val="none"/>
          <w:lang w:eastAsia="zh-CN"/>
        </w:rPr>
        <w:t>同比</w:t>
      </w:r>
      <w:r>
        <w:rPr>
          <w:rFonts w:hint="eastAsia" w:ascii="宋体" w:hAnsi="宋体" w:eastAsia="仿宋_GB2312"/>
          <w:b w:val="0"/>
          <w:bCs w:val="0"/>
          <w:color w:val="auto"/>
          <w:kern w:val="0"/>
          <w:sz w:val="32"/>
          <w:szCs w:val="32"/>
          <w:highlight w:val="none"/>
          <w:u w:val="none"/>
          <w:lang w:val="en-US" w:eastAsia="zh-CN"/>
        </w:rPr>
        <w:t>下降0.8%，</w:t>
      </w:r>
      <w:r>
        <w:rPr>
          <w:rFonts w:hint="eastAsia" w:ascii="宋体" w:hAnsi="宋体" w:eastAsia="仿宋_GB2312"/>
          <w:b w:val="0"/>
          <w:bCs w:val="0"/>
          <w:color w:val="auto"/>
          <w:kern w:val="0"/>
          <w:sz w:val="32"/>
          <w:szCs w:val="32"/>
          <w:highlight w:val="none"/>
          <w:u w:val="none"/>
          <w:lang w:eastAsia="zh-CN"/>
        </w:rPr>
        <w:t>保持了适度的支出强度</w:t>
      </w:r>
      <w:r>
        <w:rPr>
          <w:rFonts w:hint="eastAsia" w:eastAsia="仿宋_GB2312"/>
          <w:b w:val="0"/>
          <w:bCs w:val="0"/>
          <w:color w:val="auto"/>
          <w:kern w:val="0"/>
          <w:sz w:val="32"/>
          <w:szCs w:val="32"/>
          <w:highlight w:val="none"/>
          <w:u w:val="none"/>
          <w:lang w:eastAsia="zh-CN"/>
        </w:rPr>
        <w:t>，</w:t>
      </w:r>
      <w:r>
        <w:rPr>
          <w:rFonts w:hint="eastAsia" w:ascii="宋体" w:hAnsi="宋体" w:eastAsia="仿宋_GB2312"/>
          <w:b w:val="0"/>
          <w:bCs w:val="0"/>
          <w:color w:val="auto"/>
          <w:kern w:val="0"/>
          <w:sz w:val="32"/>
          <w:szCs w:val="32"/>
          <w:highlight w:val="none"/>
          <w:u w:val="none"/>
          <w:lang w:val="en-US" w:eastAsia="zh-CN"/>
        </w:rPr>
        <w:t>用于</w:t>
      </w:r>
      <w:r>
        <w:rPr>
          <w:rFonts w:hint="eastAsia" w:ascii="宋体" w:hAnsi="宋体" w:eastAsia="仿宋_GB2312"/>
          <w:b w:val="0"/>
          <w:bCs w:val="0"/>
          <w:color w:val="auto"/>
          <w:kern w:val="0"/>
          <w:highlight w:val="none"/>
          <w:u w:val="none"/>
        </w:rPr>
        <w:t>就业</w:t>
      </w:r>
      <w:r>
        <w:rPr>
          <w:rFonts w:hint="eastAsia" w:ascii="宋体" w:hAnsi="宋体" w:eastAsia="仿宋_GB2312"/>
          <w:b w:val="0"/>
          <w:bCs w:val="0"/>
          <w:color w:val="auto"/>
          <w:kern w:val="0"/>
          <w:highlight w:val="none"/>
          <w:u w:val="none"/>
          <w:lang w:eastAsia="zh-CN"/>
        </w:rPr>
        <w:t>、</w:t>
      </w:r>
      <w:r>
        <w:rPr>
          <w:rFonts w:hint="eastAsia" w:ascii="宋体" w:hAnsi="宋体" w:eastAsia="仿宋_GB2312"/>
          <w:b w:val="0"/>
          <w:bCs w:val="0"/>
          <w:color w:val="auto"/>
          <w:kern w:val="0"/>
          <w:highlight w:val="none"/>
          <w:u w:val="none"/>
        </w:rPr>
        <w:t>教育</w:t>
      </w:r>
      <w:r>
        <w:rPr>
          <w:rFonts w:hint="eastAsia" w:ascii="宋体" w:hAnsi="宋体" w:eastAsia="仿宋_GB2312"/>
          <w:b w:val="0"/>
          <w:bCs w:val="0"/>
          <w:color w:val="auto"/>
          <w:kern w:val="0"/>
          <w:highlight w:val="none"/>
          <w:u w:val="none"/>
          <w:lang w:eastAsia="zh-CN"/>
        </w:rPr>
        <w:t>、</w:t>
      </w:r>
      <w:r>
        <w:rPr>
          <w:rFonts w:hint="eastAsia" w:ascii="宋体" w:hAnsi="宋体" w:eastAsia="仿宋_GB2312"/>
          <w:b w:val="0"/>
          <w:bCs w:val="0"/>
          <w:color w:val="auto"/>
          <w:kern w:val="0"/>
          <w:highlight w:val="none"/>
          <w:u w:val="none"/>
          <w:lang w:val="en-US" w:eastAsia="zh-CN"/>
        </w:rPr>
        <w:t>医疗</w:t>
      </w:r>
      <w:r>
        <w:rPr>
          <w:rFonts w:hint="eastAsia" w:ascii="宋体" w:hAnsi="宋体" w:eastAsia="仿宋_GB2312"/>
          <w:b w:val="0"/>
          <w:bCs w:val="0"/>
          <w:color w:val="auto"/>
          <w:kern w:val="0"/>
          <w:highlight w:val="none"/>
          <w:u w:val="none"/>
        </w:rPr>
        <w:t>卫生</w:t>
      </w:r>
      <w:r>
        <w:rPr>
          <w:rFonts w:hint="eastAsia" w:ascii="宋体" w:hAnsi="宋体" w:eastAsia="仿宋_GB2312"/>
          <w:b w:val="0"/>
          <w:bCs w:val="0"/>
          <w:color w:val="auto"/>
          <w:kern w:val="0"/>
          <w:highlight w:val="none"/>
          <w:u w:val="none"/>
          <w:lang w:eastAsia="zh-CN"/>
        </w:rPr>
        <w:t>、</w:t>
      </w:r>
      <w:r>
        <w:rPr>
          <w:rFonts w:hint="eastAsia" w:ascii="宋体" w:hAnsi="宋体" w:eastAsia="仿宋_GB2312"/>
          <w:b w:val="0"/>
          <w:bCs w:val="0"/>
          <w:color w:val="auto"/>
          <w:kern w:val="0"/>
          <w:highlight w:val="none"/>
          <w:u w:val="none"/>
          <w:lang w:val="en-US" w:eastAsia="zh-CN"/>
        </w:rPr>
        <w:t>住房保障、社会保障</w:t>
      </w:r>
      <w:r>
        <w:rPr>
          <w:rFonts w:hint="eastAsia" w:ascii="宋体" w:hAnsi="宋体" w:eastAsia="仿宋_GB2312"/>
          <w:b w:val="0"/>
          <w:bCs w:val="0"/>
          <w:color w:val="auto"/>
          <w:kern w:val="0"/>
          <w:sz w:val="32"/>
          <w:szCs w:val="32"/>
          <w:highlight w:val="none"/>
          <w:u w:val="none"/>
          <w:lang w:val="en-US" w:eastAsia="zh-CN"/>
        </w:rPr>
        <w:t>等方面的支出</w:t>
      </w:r>
      <w:r>
        <w:rPr>
          <w:rFonts w:hint="eastAsia" w:ascii="宋体" w:hAnsi="宋体" w:eastAsia="仿宋_GB2312"/>
          <w:b w:val="0"/>
          <w:bCs w:val="0"/>
          <w:color w:val="auto"/>
          <w:kern w:val="0"/>
          <w:highlight w:val="none"/>
          <w:u w:val="none"/>
          <w:lang w:val="en-US" w:eastAsia="zh-CN"/>
        </w:rPr>
        <w:t>占</w:t>
      </w:r>
      <w:r>
        <w:rPr>
          <w:rFonts w:hint="eastAsia" w:ascii="宋体" w:hAnsi="宋体" w:eastAsia="仿宋_GB2312"/>
          <w:b w:val="0"/>
          <w:bCs w:val="0"/>
          <w:color w:val="auto"/>
          <w:kern w:val="0"/>
          <w:highlight w:val="none"/>
          <w:u w:val="none"/>
        </w:rPr>
        <w:t>一般公共预算支出</w:t>
      </w:r>
      <w:r>
        <w:rPr>
          <w:rFonts w:hint="eastAsia" w:ascii="宋体" w:hAnsi="宋体" w:eastAsia="仿宋_GB2312"/>
          <w:b w:val="0"/>
          <w:bCs w:val="0"/>
          <w:color w:val="auto"/>
          <w:kern w:val="0"/>
          <w:highlight w:val="none"/>
          <w:u w:val="none"/>
          <w:lang w:val="en-US" w:eastAsia="zh-CN"/>
        </w:rPr>
        <w:t>的53.5%，</w:t>
      </w:r>
      <w:r>
        <w:rPr>
          <w:rFonts w:hint="eastAsia" w:ascii="宋体" w:hAnsi="宋体" w:eastAsia="仿宋_GB2312"/>
          <w:b w:val="0"/>
          <w:bCs w:val="0"/>
          <w:color w:val="auto"/>
          <w:kern w:val="0"/>
          <w:sz w:val="32"/>
          <w:szCs w:val="32"/>
          <w:highlight w:val="none"/>
          <w:u w:val="none"/>
          <w:lang w:val="en-US" w:eastAsia="zh-CN"/>
        </w:rPr>
        <w:t>民生保障有力有效。</w:t>
      </w:r>
      <w:r>
        <w:rPr>
          <w:rFonts w:hint="eastAsia" w:ascii="宋体" w:hAnsi="宋体" w:eastAsia="仿宋_GB2312" w:cs="仿宋_GB2312"/>
          <w:b w:val="0"/>
          <w:bCs w:val="0"/>
          <w:color w:val="auto"/>
          <w:highlight w:val="none"/>
          <w:u w:val="none"/>
          <w:lang w:val="zh-CN"/>
        </w:rPr>
        <w:t>政府债务率</w:t>
      </w:r>
      <w:r>
        <w:rPr>
          <w:rFonts w:hint="eastAsia" w:ascii="宋体" w:hAnsi="宋体" w:eastAsia="仿宋_GB2312" w:cs="仿宋_GB2312"/>
          <w:b w:val="0"/>
          <w:bCs w:val="0"/>
          <w:color w:val="auto"/>
          <w:highlight w:val="none"/>
          <w:u w:val="none"/>
          <w:lang w:val="en-US" w:eastAsia="zh-CN"/>
        </w:rPr>
        <w:t>处于低风险区间</w:t>
      </w:r>
      <w:r>
        <w:rPr>
          <w:rFonts w:hint="eastAsia" w:eastAsia="仿宋_GB2312" w:cs="仿宋_GB2312"/>
          <w:b w:val="0"/>
          <w:bCs w:val="0"/>
          <w:color w:val="auto"/>
          <w:highlight w:val="none"/>
          <w:u w:val="none"/>
          <w:lang w:val="en-US" w:eastAsia="zh-CN"/>
        </w:rPr>
        <w:t>，</w:t>
      </w:r>
      <w:r>
        <w:rPr>
          <w:rFonts w:hint="eastAsia" w:ascii="宋体" w:hAnsi="宋体" w:eastAsia="仿宋_GB2312"/>
          <w:b w:val="0"/>
          <w:bCs w:val="0"/>
          <w:color w:val="auto"/>
          <w:kern w:val="0"/>
          <w:sz w:val="32"/>
          <w:szCs w:val="32"/>
          <w:highlight w:val="none"/>
          <w:u w:val="none"/>
          <w:lang w:eastAsia="zh-CN"/>
        </w:rPr>
        <w:t>财政运行平稳，</w:t>
      </w:r>
      <w:r>
        <w:rPr>
          <w:rFonts w:hint="eastAsia" w:ascii="宋体" w:hAnsi="宋体" w:eastAsia="仿宋_GB2312"/>
          <w:b w:val="0"/>
          <w:bCs w:val="0"/>
          <w:color w:val="auto"/>
          <w:kern w:val="0"/>
          <w:sz w:val="32"/>
          <w:szCs w:val="32"/>
          <w:highlight w:val="none"/>
          <w:u w:val="none"/>
          <w:lang w:val="en-US" w:eastAsia="zh-CN"/>
        </w:rPr>
        <w:t>收支总体平衡。</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highlight w:val="none"/>
          <w:u w:val="none"/>
          <w:lang w:val="zh-CN"/>
        </w:rPr>
      </w:pPr>
      <w:r>
        <w:rPr>
          <w:rFonts w:hint="eastAsia" w:ascii="宋体" w:hAnsi="宋体" w:eastAsia="楷体" w:cs="楷体"/>
          <w:b w:val="0"/>
          <w:bCs w:val="0"/>
          <w:color w:val="auto"/>
          <w:highlight w:val="none"/>
          <w:u w:val="none"/>
          <w:lang w:val="zh-CN"/>
        </w:rPr>
        <w:t>——</w:t>
      </w:r>
      <w:r>
        <w:rPr>
          <w:rFonts w:hint="eastAsia" w:ascii="宋体" w:hAnsi="宋体" w:eastAsia="楷体" w:cs="楷体"/>
          <w:b w:val="0"/>
          <w:bCs w:val="0"/>
          <w:color w:val="auto"/>
          <w:sz w:val="32"/>
          <w:szCs w:val="32"/>
          <w:highlight w:val="none"/>
          <w:u w:val="none"/>
          <w:lang w:val="zh-CN"/>
        </w:rPr>
        <w:t>预算绩效管理全面开展。</w:t>
      </w:r>
      <w:r>
        <w:rPr>
          <w:rFonts w:hint="eastAsia" w:ascii="宋体" w:hAnsi="宋体" w:eastAsia="仿宋_GB2312" w:cs="仿宋_GB2312"/>
          <w:b w:val="0"/>
          <w:bCs w:val="0"/>
          <w:color w:val="auto"/>
          <w:sz w:val="32"/>
          <w:szCs w:val="32"/>
          <w:highlight w:val="none"/>
          <w:u w:val="none"/>
          <w:lang w:val="en-US" w:eastAsia="zh-CN"/>
        </w:rPr>
        <w:t>制发</w:t>
      </w:r>
      <w:r>
        <w:rPr>
          <w:rFonts w:hint="eastAsia" w:ascii="宋体" w:hAnsi="宋体" w:eastAsia="仿宋_GB2312" w:cs="仿宋_GB2312"/>
          <w:b w:val="0"/>
          <w:bCs w:val="0"/>
          <w:color w:val="auto"/>
          <w:highlight w:val="none"/>
          <w:u w:val="none"/>
          <w:lang w:val="zh-CN"/>
        </w:rPr>
        <w:t>《西城区全面实施预算绩效管理实施方案》，</w:t>
      </w:r>
      <w:r>
        <w:rPr>
          <w:rFonts w:hint="eastAsia" w:ascii="宋体" w:hAnsi="宋体" w:eastAsia="仿宋_GB2312" w:cs="仿宋_GB2312"/>
          <w:b w:val="0"/>
          <w:bCs w:val="0"/>
          <w:color w:val="auto"/>
          <w:highlight w:val="none"/>
          <w:u w:val="none"/>
          <w:lang w:val="en-US" w:eastAsia="zh-CN"/>
        </w:rPr>
        <w:t>推动建立全方位、全过程、全覆盖的预算绩效管理体系。制定</w:t>
      </w:r>
      <w:r>
        <w:rPr>
          <w:rFonts w:hint="eastAsia" w:ascii="宋体" w:hAnsi="宋体" w:eastAsia="仿宋_GB2312" w:cs="仿宋_GB2312"/>
          <w:b w:val="0"/>
          <w:bCs w:val="0"/>
          <w:color w:val="auto"/>
          <w:highlight w:val="none"/>
          <w:u w:val="none"/>
          <w:lang w:val="zh-CN"/>
        </w:rPr>
        <w:t>《西城区绩效目标管理办法》及操作规程，</w:t>
      </w:r>
      <w:r>
        <w:rPr>
          <w:rFonts w:hint="eastAsia" w:ascii="宋体" w:hAnsi="宋体" w:eastAsia="仿宋_GB2312" w:cs="仿宋_GB2312"/>
          <w:b w:val="0"/>
          <w:bCs w:val="0"/>
          <w:color w:val="auto"/>
          <w:highlight w:val="none"/>
          <w:u w:val="none"/>
          <w:lang w:val="en-US" w:eastAsia="zh-CN"/>
        </w:rPr>
        <w:t>加强</w:t>
      </w:r>
      <w:r>
        <w:rPr>
          <w:rFonts w:hint="eastAsia" w:ascii="宋体" w:hAnsi="宋体" w:eastAsia="仿宋_GB2312" w:cs="仿宋_GB2312"/>
          <w:b w:val="0"/>
          <w:bCs w:val="0"/>
          <w:color w:val="auto"/>
          <w:highlight w:val="none"/>
          <w:u w:val="none"/>
          <w:lang w:val="zh-CN"/>
        </w:rPr>
        <w:t>绩效目标前端控制作用。扩大事前评估范围，强化评价结果应用，</w:t>
      </w:r>
      <w:r>
        <w:rPr>
          <w:rFonts w:hint="eastAsia" w:ascii="宋体" w:hAnsi="宋体" w:eastAsia="仿宋_GB2312" w:cs="仿宋_GB2312"/>
          <w:b w:val="0"/>
          <w:bCs w:val="0"/>
          <w:color w:val="auto"/>
          <w:highlight w:val="none"/>
          <w:u w:val="none"/>
          <w:lang w:val="en-US" w:eastAsia="zh-CN"/>
        </w:rPr>
        <w:t>推动</w:t>
      </w:r>
      <w:r>
        <w:rPr>
          <w:rFonts w:hint="eastAsia" w:ascii="宋体" w:hAnsi="宋体" w:eastAsia="仿宋_GB2312" w:cs="仿宋_GB2312"/>
          <w:b w:val="0"/>
          <w:bCs w:val="0"/>
          <w:color w:val="auto"/>
          <w:highlight w:val="none"/>
          <w:u w:val="none"/>
          <w:lang w:val="zh-CN"/>
        </w:rPr>
        <w:t>预算管理和绩效管理</w:t>
      </w:r>
      <w:r>
        <w:rPr>
          <w:rFonts w:hint="eastAsia" w:ascii="宋体" w:hAnsi="宋体" w:eastAsia="仿宋_GB2312" w:cs="仿宋_GB2312"/>
          <w:b w:val="0"/>
          <w:bCs w:val="0"/>
          <w:color w:val="auto"/>
          <w:highlight w:val="none"/>
          <w:u w:val="none"/>
          <w:lang w:val="en-US" w:eastAsia="zh-CN"/>
        </w:rPr>
        <w:t>一体化</w:t>
      </w:r>
      <w:r>
        <w:rPr>
          <w:rFonts w:hint="eastAsia" w:ascii="宋体" w:hAnsi="宋体" w:eastAsia="仿宋_GB2312" w:cs="仿宋_GB2312"/>
          <w:b w:val="0"/>
          <w:bCs w:val="0"/>
          <w:color w:val="auto"/>
          <w:highlight w:val="none"/>
          <w:u w:val="none"/>
          <w:lang w:val="zh-CN"/>
        </w:rPr>
        <w:t>。</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zh-CN"/>
        </w:rPr>
        <w:t>一、区本级预算执行和决算草案审计情况</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仿宋_GB2312" w:cs="仿宋_GB2312"/>
          <w:b w:val="0"/>
          <w:bCs w:val="0"/>
          <w:color w:val="auto"/>
          <w:u w:val="none"/>
          <w:lang w:val="en-US" w:eastAsia="zh-CN"/>
        </w:rPr>
        <w:t>重点审计了</w:t>
      </w:r>
      <w:r>
        <w:rPr>
          <w:rFonts w:hint="eastAsia" w:ascii="宋体" w:hAnsi="宋体" w:eastAsia="仿宋_GB2312" w:cs="仿宋_GB2312"/>
          <w:b w:val="0"/>
          <w:bCs w:val="0"/>
          <w:color w:val="auto"/>
          <w:u w:val="none"/>
        </w:rPr>
        <w:t>区财政2021年度区级预算执行及其他财政收支情况</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lang w:val="en-US" w:eastAsia="zh-CN"/>
        </w:rPr>
        <w:t>主要关注了决算草案</w:t>
      </w:r>
      <w:r>
        <w:rPr>
          <w:rFonts w:hint="eastAsia" w:eastAsia="仿宋_GB2312" w:cs="仿宋_GB2312"/>
          <w:b w:val="0"/>
          <w:bCs w:val="0"/>
          <w:color w:val="auto"/>
          <w:u w:val="none"/>
          <w:lang w:val="en-US" w:eastAsia="zh-CN"/>
        </w:rPr>
        <w:t>编制情况、</w:t>
      </w:r>
      <w:r>
        <w:rPr>
          <w:rFonts w:hint="eastAsia" w:ascii="宋体" w:hAnsi="宋体" w:eastAsia="仿宋_GB2312" w:cs="仿宋_GB2312"/>
          <w:b w:val="0"/>
          <w:bCs w:val="0"/>
          <w:color w:val="auto"/>
          <w:u w:val="none"/>
          <w:lang w:val="en-US" w:eastAsia="zh-CN"/>
        </w:rPr>
        <w:t>财政收入组织、财政资金分配、</w:t>
      </w:r>
      <w:r>
        <w:rPr>
          <w:rFonts w:hint="eastAsia" w:ascii="宋体" w:hAnsi="宋体" w:eastAsia="仿宋_GB2312" w:cs="仿宋_GB2312"/>
          <w:b w:val="0"/>
          <w:bCs w:val="0"/>
          <w:color w:val="auto"/>
          <w:u w:val="none"/>
        </w:rPr>
        <w:t>财政直达资金管理使用</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rPr>
        <w:t>预算绩效管理</w:t>
      </w:r>
      <w:r>
        <w:rPr>
          <w:rFonts w:hint="eastAsia" w:ascii="宋体" w:hAnsi="宋体" w:eastAsia="仿宋_GB2312" w:cs="仿宋_GB2312"/>
          <w:b w:val="0"/>
          <w:bCs w:val="0"/>
          <w:color w:val="auto"/>
          <w:u w:val="none"/>
          <w:lang w:val="en-US" w:eastAsia="zh-CN"/>
        </w:rPr>
        <w:t>等情况</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lang w:val="en-US" w:eastAsia="zh-CN"/>
        </w:rPr>
        <w:t>审计结果表明</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rPr>
        <w:t>区财政</w:t>
      </w:r>
      <w:r>
        <w:rPr>
          <w:rFonts w:hint="eastAsia" w:ascii="宋体" w:hAnsi="宋体" w:eastAsia="仿宋_GB2312" w:cs="仿宋_GB2312"/>
          <w:b w:val="0"/>
          <w:bCs w:val="0"/>
          <w:color w:val="auto"/>
          <w:u w:val="none"/>
          <w:lang w:val="en-US" w:eastAsia="zh-CN"/>
        </w:rPr>
        <w:t>持续提升</w:t>
      </w:r>
      <w:r>
        <w:rPr>
          <w:rFonts w:hint="eastAsia" w:ascii="宋体" w:hAnsi="宋体" w:eastAsia="仿宋_GB2312" w:cs="仿宋_GB2312"/>
          <w:b w:val="0"/>
          <w:bCs w:val="0"/>
          <w:color w:val="auto"/>
          <w:u w:val="none"/>
        </w:rPr>
        <w:t>税源建设</w:t>
      </w:r>
      <w:r>
        <w:rPr>
          <w:rFonts w:hint="eastAsia" w:ascii="宋体" w:hAnsi="宋体" w:eastAsia="仿宋_GB2312" w:cs="仿宋_GB2312"/>
          <w:b w:val="0"/>
          <w:bCs w:val="0"/>
          <w:dstrike w:val="0"/>
          <w:color w:val="auto"/>
          <w:u w:val="none"/>
        </w:rPr>
        <w:t>能力</w:t>
      </w:r>
      <w:r>
        <w:rPr>
          <w:rFonts w:hint="eastAsia" w:ascii="宋体" w:hAnsi="宋体" w:eastAsia="仿宋_GB2312" w:cs="仿宋_GB2312"/>
          <w:b w:val="0"/>
          <w:bCs w:val="0"/>
          <w:color w:val="auto"/>
          <w:u w:val="none"/>
        </w:rPr>
        <w:t>，</w:t>
      </w:r>
      <w:r>
        <w:rPr>
          <w:rFonts w:hint="eastAsia" w:ascii="宋体" w:hAnsi="宋体" w:eastAsia="仿宋_GB2312" w:cs="仿宋_GB2312"/>
          <w:b w:val="0"/>
          <w:bCs w:val="0"/>
          <w:color w:val="auto"/>
          <w:u w:val="none"/>
          <w:lang w:val="en-US" w:eastAsia="zh-CN"/>
        </w:rPr>
        <w:t>开展精准助企</w:t>
      </w:r>
      <w:r>
        <w:rPr>
          <w:rFonts w:hint="eastAsia" w:ascii="宋体" w:hAnsi="宋体" w:eastAsia="仿宋_GB2312" w:cs="仿宋_GB2312"/>
          <w:b w:val="0"/>
          <w:bCs w:val="0"/>
          <w:color w:val="auto"/>
          <w:u w:val="none"/>
        </w:rPr>
        <w:t>服务</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rPr>
        <w:t>着力</w:t>
      </w:r>
      <w:r>
        <w:rPr>
          <w:rFonts w:hint="eastAsia" w:ascii="宋体" w:hAnsi="宋体" w:eastAsia="仿宋_GB2312" w:cs="仿宋_GB2312"/>
          <w:b w:val="0"/>
          <w:bCs w:val="0"/>
          <w:color w:val="auto"/>
          <w:u w:val="none"/>
          <w:lang w:val="en-US" w:eastAsia="zh-CN"/>
        </w:rPr>
        <w:t>涵养培育</w:t>
      </w:r>
      <w:r>
        <w:rPr>
          <w:rFonts w:hint="eastAsia" w:ascii="宋体" w:hAnsi="宋体" w:eastAsia="仿宋_GB2312" w:cs="仿宋_GB2312"/>
          <w:b w:val="0"/>
          <w:bCs w:val="0"/>
          <w:color w:val="auto"/>
          <w:u w:val="none"/>
        </w:rPr>
        <w:t>税源。</w:t>
      </w:r>
      <w:r>
        <w:rPr>
          <w:rFonts w:hint="eastAsia" w:ascii="宋体" w:hAnsi="宋体" w:eastAsia="仿宋_GB2312" w:cs="仿宋_GB2312"/>
          <w:b w:val="0"/>
          <w:bCs w:val="0"/>
          <w:color w:val="auto"/>
          <w:u w:val="none"/>
          <w:lang w:val="en-US" w:eastAsia="zh-CN"/>
        </w:rPr>
        <w:t>持续</w:t>
      </w:r>
      <w:r>
        <w:rPr>
          <w:rFonts w:hint="eastAsia" w:ascii="宋体" w:hAnsi="宋体" w:eastAsia="仿宋_GB2312" w:cs="仿宋_GB2312"/>
          <w:b w:val="0"/>
          <w:bCs w:val="0"/>
          <w:color w:val="auto"/>
          <w:u w:val="none"/>
        </w:rPr>
        <w:t>强化资金统筹，</w:t>
      </w:r>
      <w:r>
        <w:rPr>
          <w:rFonts w:hint="eastAsia" w:ascii="宋体" w:hAnsi="宋体" w:eastAsia="仿宋_GB2312" w:cs="仿宋_GB2312"/>
          <w:b w:val="0"/>
          <w:bCs w:val="0"/>
          <w:color w:val="auto"/>
          <w:u w:val="none"/>
          <w:lang w:val="en-US" w:eastAsia="zh-CN"/>
        </w:rPr>
        <w:t>支出安排积极稳妥，</w:t>
      </w:r>
      <w:r>
        <w:rPr>
          <w:rFonts w:hint="eastAsia" w:ascii="宋体" w:hAnsi="宋体" w:eastAsia="仿宋_GB2312" w:cs="仿宋_GB2312"/>
          <w:b w:val="0"/>
          <w:bCs w:val="0"/>
          <w:color w:val="auto"/>
          <w:u w:val="none"/>
        </w:rPr>
        <w:t>支出结构</w:t>
      </w:r>
      <w:r>
        <w:rPr>
          <w:rFonts w:hint="eastAsia" w:ascii="宋体" w:hAnsi="宋体" w:eastAsia="仿宋_GB2312" w:cs="仿宋_GB2312"/>
          <w:b w:val="0"/>
          <w:bCs w:val="0"/>
          <w:color w:val="auto"/>
          <w:u w:val="none"/>
          <w:lang w:val="en-US" w:eastAsia="zh-CN"/>
        </w:rPr>
        <w:t>进一步优化。</w:t>
      </w:r>
      <w:r>
        <w:rPr>
          <w:rFonts w:hint="eastAsia" w:ascii="宋体" w:hAnsi="宋体" w:eastAsia="仿宋_GB2312" w:cs="仿宋_GB2312"/>
          <w:b w:val="0"/>
          <w:bCs w:val="0"/>
          <w:color w:val="auto"/>
          <w:u w:val="none"/>
        </w:rPr>
        <w:t>深化预算管理制度改革</w:t>
      </w:r>
      <w:r>
        <w:rPr>
          <w:rFonts w:hint="eastAsia" w:ascii="宋体" w:hAnsi="宋体" w:eastAsia="仿宋_GB2312" w:cs="仿宋_GB2312"/>
          <w:b w:val="0"/>
          <w:bCs w:val="0"/>
          <w:color w:val="auto"/>
          <w:u w:val="none"/>
          <w:lang w:eastAsia="zh-CN"/>
        </w:rPr>
        <w:t>，</w:t>
      </w:r>
      <w:r>
        <w:rPr>
          <w:rFonts w:hint="eastAsia" w:ascii="宋体" w:hAnsi="宋体" w:eastAsia="仿宋_GB2312" w:cs="仿宋_GB2312"/>
          <w:b w:val="0"/>
          <w:bCs w:val="0"/>
          <w:color w:val="auto"/>
          <w:u w:val="none"/>
          <w:lang w:val="en-US" w:eastAsia="zh-CN"/>
        </w:rPr>
        <w:t>财政治理效能继续提升</w:t>
      </w:r>
      <w:r>
        <w:rPr>
          <w:rFonts w:hint="eastAsia" w:ascii="宋体" w:hAnsi="宋体" w:eastAsia="仿宋_GB2312" w:cs="仿宋_GB2312"/>
          <w:b w:val="0"/>
          <w:bCs w:val="0"/>
          <w:color w:val="auto"/>
          <w:u w:val="none"/>
        </w:rPr>
        <w:t>。</w:t>
      </w:r>
      <w:r>
        <w:rPr>
          <w:rFonts w:hint="eastAsia" w:ascii="宋体" w:hAnsi="宋体" w:eastAsia="仿宋_GB2312" w:cs="仿宋_GB2312"/>
          <w:b w:val="0"/>
          <w:bCs w:val="0"/>
          <w:color w:val="auto"/>
          <w:highlight w:val="none"/>
          <w:u w:val="none"/>
          <w:lang w:val="zh-CN"/>
        </w:rPr>
        <w:t>总体看，2021年度预算执行和其他财政收支情况较好。</w:t>
      </w:r>
      <w:r>
        <w:rPr>
          <w:rFonts w:hint="eastAsia" w:ascii="宋体" w:hAnsi="宋体" w:eastAsia="仿宋_GB2312" w:cs="仿宋_GB2312"/>
          <w:b w:val="0"/>
          <w:bCs w:val="0"/>
          <w:color w:val="auto"/>
          <w:highlight w:val="none"/>
          <w:u w:val="none"/>
          <w:lang w:val="en-US" w:eastAsia="zh-CN"/>
        </w:rPr>
        <w:t>发现的主要问题：</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一般公共预算方面</w:t>
      </w:r>
      <w:r>
        <w:rPr>
          <w:rFonts w:hint="eastAsia"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一是</w:t>
      </w:r>
      <w:r>
        <w:rPr>
          <w:rFonts w:hint="eastAsia" w:ascii="宋体" w:hAnsi="宋体" w:eastAsia="仿宋_GB2312" w:cs="仿宋_GB2312"/>
          <w:b w:val="0"/>
          <w:bCs w:val="0"/>
          <w:color w:val="auto"/>
          <w:sz w:val="32"/>
          <w:szCs w:val="32"/>
          <w:highlight w:val="none"/>
          <w:u w:val="none"/>
          <w:lang w:val="en-US" w:eastAsia="zh-CN"/>
        </w:rPr>
        <w:t>预算编制不严谨，部分基本建设项目反复调整预算。存在</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基本建设项目预算编制不严谨、反复调整预算</w:t>
      </w:r>
      <w:r>
        <w:rPr>
          <w:rFonts w:hint="eastAsia" w:eastAsia="仿宋_GB2312" w:cs="仿宋_GB2312"/>
          <w:b w:val="0"/>
          <w:bCs w:val="0"/>
          <w:color w:val="auto"/>
          <w:sz w:val="32"/>
          <w:szCs w:val="32"/>
          <w:highlight w:val="none"/>
          <w:u w:val="none"/>
          <w:lang w:val="en-US" w:eastAsia="zh-CN"/>
        </w:rPr>
        <w:t>的</w:t>
      </w:r>
      <w:r>
        <w:rPr>
          <w:rFonts w:hint="eastAsia" w:ascii="宋体" w:hAnsi="宋体" w:eastAsia="仿宋_GB2312" w:cs="仿宋_GB2312"/>
          <w:b w:val="0"/>
          <w:bCs w:val="0"/>
          <w:color w:val="auto"/>
          <w:sz w:val="32"/>
          <w:szCs w:val="32"/>
          <w:highlight w:val="none"/>
          <w:u w:val="none"/>
          <w:lang w:val="en-US" w:eastAsia="zh-CN"/>
        </w:rPr>
        <w:t>情况</w:t>
      </w:r>
      <w:r>
        <w:rPr>
          <w:rFonts w:hint="eastAsia" w:eastAsia="仿宋_GB2312" w:cs="仿宋_GB2312"/>
          <w:b w:val="0"/>
          <w:bCs w:val="0"/>
          <w:color w:val="auto"/>
          <w:sz w:val="32"/>
          <w:szCs w:val="32"/>
          <w:highlight w:val="none"/>
          <w:u w:val="none"/>
          <w:lang w:val="en-US" w:eastAsia="zh-CN"/>
        </w:rPr>
        <w:t>，其中</w:t>
      </w:r>
      <w:r>
        <w:rPr>
          <w:rFonts w:hint="eastAsia" w:ascii="宋体" w:hAnsi="宋体" w:eastAsia="仿宋_GB2312" w:cs="仿宋_GB2312"/>
          <w:b w:val="0"/>
          <w:bCs w:val="0"/>
          <w:color w:val="auto"/>
          <w:sz w:val="32"/>
          <w:szCs w:val="32"/>
          <w:highlight w:val="none"/>
          <w:u w:val="none"/>
          <w:lang w:val="en-US" w:eastAsia="zh-CN"/>
        </w:rPr>
        <w:t>21个年初预算项目和2个追加预算项目全额调减；14个年初预算项目和2个追加预算项目调减，调减率超过50%。</w:t>
      </w:r>
      <w:r>
        <w:rPr>
          <w:rFonts w:hint="eastAsia" w:eastAsia="仿宋_GB2312" w:cs="仿宋_GB2312"/>
          <w:b w:val="0"/>
          <w:bCs w:val="0"/>
          <w:color w:val="auto"/>
          <w:sz w:val="32"/>
          <w:szCs w:val="32"/>
          <w:highlight w:val="none"/>
          <w:u w:val="none"/>
          <w:lang w:val="en-US" w:eastAsia="zh-CN"/>
        </w:rPr>
        <w:t>二是</w:t>
      </w:r>
      <w:r>
        <w:rPr>
          <w:rFonts w:hint="eastAsia" w:ascii="宋体" w:hAnsi="宋体" w:eastAsia="仿宋_GB2312" w:cs="仿宋_GB2312"/>
          <w:b w:val="0"/>
          <w:bCs w:val="0"/>
          <w:color w:val="auto"/>
          <w:sz w:val="32"/>
          <w:szCs w:val="32"/>
          <w:highlight w:val="none"/>
          <w:u w:val="none"/>
          <w:lang w:val="en-US" w:eastAsia="zh-CN"/>
        </w:rPr>
        <w:t>街道统筹发展专项资金缺乏有效管理。部分经费支出内容不合规，用于办公设备购置、慰问经费、办公用房装修改造等；部分经费支出未严格执行项目支出预算管理，用于日常运行检查服务费、文化中心装修改造支出等经常性或一般性项目。</w:t>
      </w:r>
      <w:r>
        <w:rPr>
          <w:rFonts w:hint="eastAsia" w:eastAsia="仿宋_GB2312" w:cs="仿宋_GB2312"/>
          <w:b w:val="0"/>
          <w:bCs w:val="0"/>
          <w:color w:val="auto"/>
          <w:sz w:val="32"/>
          <w:szCs w:val="32"/>
          <w:highlight w:val="none"/>
          <w:u w:val="none"/>
          <w:lang w:val="en-US" w:eastAsia="zh-CN"/>
        </w:rPr>
        <w:t>三是</w:t>
      </w:r>
      <w:r>
        <w:rPr>
          <w:rFonts w:hint="eastAsia" w:ascii="宋体" w:hAnsi="宋体" w:eastAsia="仿宋_GB2312" w:cs="仿宋_GB2312"/>
          <w:b w:val="0"/>
          <w:bCs w:val="0"/>
          <w:color w:val="auto"/>
          <w:sz w:val="32"/>
          <w:szCs w:val="32"/>
          <w:highlight w:val="none"/>
          <w:u w:val="none"/>
          <w:lang w:val="en-US" w:eastAsia="zh-CN"/>
        </w:rPr>
        <w:t>个别</w:t>
      </w:r>
      <w:r>
        <w:rPr>
          <w:rFonts w:hint="eastAsia" w:ascii="宋体" w:hAnsi="宋体" w:eastAsia="仿宋_GB2312" w:cs="仿宋_GB2312"/>
          <w:b w:val="0"/>
          <w:bCs w:val="0"/>
          <w:color w:val="auto"/>
          <w:u w:val="none"/>
        </w:rPr>
        <w:t>专项资金未结合项目进度拨付，在项目实施单位形成沉淀</w:t>
      </w:r>
      <w:r>
        <w:rPr>
          <w:rFonts w:hint="eastAsia" w:ascii="宋体" w:hAnsi="宋体" w:eastAsia="仿宋_GB2312" w:cs="仿宋_GB2312"/>
          <w:b w:val="0"/>
          <w:bCs w:val="0"/>
          <w:color w:val="auto"/>
          <w:sz w:val="32"/>
          <w:szCs w:val="32"/>
          <w:highlight w:val="none"/>
          <w:u w:val="none"/>
          <w:lang w:val="en-US" w:eastAsia="zh-CN"/>
        </w:rPr>
        <w:t>。</w:t>
      </w:r>
      <w:r>
        <w:rPr>
          <w:rFonts w:hint="eastAsia" w:eastAsia="仿宋_GB2312" w:cs="仿宋_GB2312"/>
          <w:b w:val="0"/>
          <w:bCs w:val="0"/>
          <w:color w:val="auto"/>
          <w:sz w:val="32"/>
          <w:szCs w:val="32"/>
          <w:u w:val="none"/>
          <w:lang w:val="en-US" w:eastAsia="zh-CN"/>
        </w:rPr>
        <w:t>四是</w:t>
      </w:r>
      <w:r>
        <w:rPr>
          <w:rFonts w:hint="eastAsia" w:ascii="宋体" w:hAnsi="宋体" w:eastAsia="仿宋_GB2312" w:cs="仿宋_GB2312"/>
          <w:b w:val="0"/>
          <w:bCs w:val="0"/>
          <w:color w:val="auto"/>
          <w:sz w:val="32"/>
          <w:szCs w:val="32"/>
          <w:highlight w:val="none"/>
          <w:u w:val="none"/>
          <w:lang w:val="en-US" w:eastAsia="zh-CN"/>
        </w:rPr>
        <w:t>未按规定将财政超收收入补充当年的预算稳定调节基金。</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dstrike w:val="0"/>
          <w:color w:val="auto"/>
          <w:sz w:val="32"/>
          <w:szCs w:val="32"/>
          <w:highlight w:val="none"/>
          <w:u w:val="none"/>
          <w:lang w:val="en-US" w:eastAsia="zh-CN"/>
        </w:rPr>
        <w:t>政府性基金预算方面</w:t>
      </w:r>
      <w:r>
        <w:rPr>
          <w:rFonts w:hint="eastAsia" w:eastAsia="楷体_GB2312" w:cs="楷体_GB2312"/>
          <w:b w:val="0"/>
          <w:bCs w:val="0"/>
          <w:dstrike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存在</w:t>
      </w:r>
      <w:r>
        <w:rPr>
          <w:rFonts w:hint="eastAsia" w:ascii="宋体" w:hAnsi="宋体" w:eastAsia="仿宋_GB2312" w:cs="仿宋_GB2312"/>
          <w:b w:val="0"/>
          <w:bCs w:val="0"/>
          <w:color w:val="auto"/>
          <w:sz w:val="32"/>
          <w:szCs w:val="32"/>
          <w:highlight w:val="none"/>
          <w:u w:val="none"/>
          <w:lang w:val="en-US" w:eastAsia="zh-CN"/>
        </w:rPr>
        <w:t>预算审核不严格</w:t>
      </w:r>
      <w:r>
        <w:rPr>
          <w:rFonts w:hint="eastAsia" w:eastAsia="仿宋_GB2312" w:cs="仿宋_GB2312"/>
          <w:b w:val="0"/>
          <w:bCs w:val="0"/>
          <w:color w:val="auto"/>
          <w:sz w:val="32"/>
          <w:szCs w:val="32"/>
          <w:highlight w:val="none"/>
          <w:u w:val="none"/>
          <w:lang w:val="en-US" w:eastAsia="zh-CN"/>
        </w:rPr>
        <w:t>问题</w:t>
      </w:r>
      <w:r>
        <w:rPr>
          <w:rFonts w:hint="eastAsia" w:ascii="宋体" w:hAnsi="宋体" w:eastAsia="仿宋_GB2312" w:cs="仿宋_GB2312"/>
          <w:b w:val="0"/>
          <w:bCs w:val="0"/>
          <w:color w:val="auto"/>
          <w:sz w:val="32"/>
          <w:szCs w:val="32"/>
          <w:highlight w:val="none"/>
          <w:u w:val="none"/>
          <w:lang w:val="en-US" w:eastAsia="zh-CN"/>
        </w:rPr>
        <w:t>。2021年度安排的53个政府性基金预算项目中，41个项目未填写审核意见，11个项目的审核意见为“备选”；6个50万元以上项目无可行性报告，1个100万元以上项目无绩效目标申报表。</w:t>
      </w:r>
    </w:p>
    <w:p>
      <w:pPr>
        <w:pStyle w:val="11"/>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国有资本经营预算方面</w:t>
      </w:r>
      <w:r>
        <w:rPr>
          <w:rFonts w:hint="eastAsia" w:eastAsia="楷体_GB2312" w:cs="楷体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一是</w:t>
      </w:r>
      <w:r>
        <w:rPr>
          <w:rFonts w:hint="eastAsia" w:ascii="宋体" w:hAnsi="宋体" w:eastAsia="仿宋_GB2312" w:cs="仿宋_GB2312"/>
          <w:b w:val="0"/>
          <w:bCs w:val="0"/>
          <w:color w:val="auto"/>
          <w:sz w:val="32"/>
          <w:szCs w:val="32"/>
          <w:highlight w:val="none"/>
          <w:u w:val="none"/>
          <w:lang w:val="en-US" w:eastAsia="zh-CN"/>
        </w:rPr>
        <w:t>个别项目安排不合理，设置</w:t>
      </w:r>
      <w:r>
        <w:rPr>
          <w:rFonts w:hint="eastAsia" w:ascii="宋体" w:hAnsi="宋体" w:eastAsia="仿宋_GB2312" w:cs="仿宋_GB2312"/>
          <w:b w:val="0"/>
          <w:bCs w:val="0"/>
          <w:dstrike w:val="0"/>
          <w:color w:val="auto"/>
          <w:sz w:val="32"/>
          <w:szCs w:val="32"/>
          <w:highlight w:val="none"/>
          <w:u w:val="none"/>
          <w:lang w:val="en-US" w:eastAsia="zh-CN"/>
        </w:rPr>
        <w:t>的一</w:t>
      </w:r>
      <w:r>
        <w:rPr>
          <w:rFonts w:hint="eastAsia" w:ascii="宋体" w:hAnsi="宋体" w:eastAsia="仿宋_GB2312" w:cs="仿宋_GB2312"/>
          <w:b w:val="0"/>
          <w:bCs w:val="0"/>
          <w:color w:val="auto"/>
          <w:sz w:val="32"/>
          <w:szCs w:val="32"/>
          <w:highlight w:val="none"/>
          <w:u w:val="none"/>
          <w:lang w:val="en-US" w:eastAsia="zh-CN"/>
        </w:rPr>
        <w:t>系列绩效目标未实现</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财政资金绩效低。</w:t>
      </w:r>
      <w:r>
        <w:rPr>
          <w:rFonts w:hint="eastAsia" w:eastAsia="仿宋_GB2312" w:cs="仿宋_GB2312"/>
          <w:b w:val="0"/>
          <w:bCs w:val="0"/>
          <w:color w:val="auto"/>
          <w:sz w:val="32"/>
          <w:szCs w:val="32"/>
          <w:highlight w:val="none"/>
          <w:u w:val="none"/>
          <w:lang w:val="en-US" w:eastAsia="zh-CN"/>
        </w:rPr>
        <w:t>二是</w:t>
      </w:r>
      <w:r>
        <w:rPr>
          <w:rFonts w:hint="eastAsia" w:ascii="宋体" w:hAnsi="宋体" w:eastAsia="仿宋_GB2312" w:cs="仿宋_GB2312"/>
          <w:b w:val="0"/>
          <w:bCs w:val="0"/>
          <w:color w:val="auto"/>
          <w:sz w:val="32"/>
          <w:szCs w:val="32"/>
          <w:highlight w:val="none"/>
          <w:u w:val="none"/>
          <w:lang w:val="en-US" w:eastAsia="zh-CN"/>
        </w:rPr>
        <w:t>个别专项转移支付资金的财政监管力度不足，追加</w:t>
      </w:r>
      <w:r>
        <w:rPr>
          <w:rFonts w:hint="eastAsia" w:eastAsia="仿宋_GB2312" w:cs="仿宋_GB2312"/>
          <w:b w:val="0"/>
          <w:bCs w:val="0"/>
          <w:color w:val="auto"/>
          <w:sz w:val="32"/>
          <w:szCs w:val="32"/>
          <w:highlight w:val="none"/>
          <w:u w:val="none"/>
          <w:lang w:val="en-US" w:eastAsia="zh-CN"/>
        </w:rPr>
        <w:t>各</w:t>
      </w:r>
      <w:r>
        <w:rPr>
          <w:rFonts w:hint="eastAsia" w:ascii="宋体" w:hAnsi="宋体" w:eastAsia="仿宋_GB2312" w:cs="仿宋_GB2312"/>
          <w:b w:val="0"/>
          <w:bCs w:val="0"/>
          <w:color w:val="auto"/>
          <w:sz w:val="32"/>
          <w:szCs w:val="32"/>
          <w:highlight w:val="none"/>
          <w:u w:val="none"/>
          <w:lang w:val="en-US" w:eastAsia="zh-CN"/>
        </w:rPr>
        <w:t>街道办事处</w:t>
      </w:r>
      <w:r>
        <w:rPr>
          <w:rFonts w:hint="eastAsia" w:eastAsia="仿宋_GB2312" w:cs="仿宋_GB2312"/>
          <w:b w:val="0"/>
          <w:bCs w:val="0"/>
          <w:color w:val="auto"/>
          <w:sz w:val="32"/>
          <w:szCs w:val="32"/>
          <w:highlight w:val="none"/>
          <w:u w:val="none"/>
          <w:lang w:val="en-US" w:eastAsia="zh-CN"/>
        </w:rPr>
        <w:t>的</w:t>
      </w:r>
      <w:r>
        <w:rPr>
          <w:rFonts w:hint="eastAsia" w:ascii="宋体" w:hAnsi="宋体" w:eastAsia="仿宋_GB2312" w:cs="仿宋_GB2312"/>
          <w:b w:val="0"/>
          <w:bCs w:val="0"/>
          <w:color w:val="auto"/>
          <w:sz w:val="32"/>
          <w:szCs w:val="32"/>
          <w:highlight w:val="none"/>
          <w:u w:val="none"/>
          <w:lang w:val="en-US" w:eastAsia="zh-CN"/>
        </w:rPr>
        <w:t>市级专项转移支付资金，截至2021年末有8个街道办事处项目未执行</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支出进度缓慢。</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en-US" w:eastAsia="zh-CN"/>
        </w:rPr>
        <w:t>二、</w:t>
      </w:r>
      <w:r>
        <w:rPr>
          <w:rFonts w:hint="eastAsia" w:ascii="宋体" w:hAnsi="宋体" w:eastAsia="黑体" w:cs="黑体"/>
          <w:b w:val="0"/>
          <w:bCs w:val="0"/>
          <w:color w:val="auto"/>
          <w:sz w:val="32"/>
          <w:szCs w:val="32"/>
          <w:highlight w:val="none"/>
          <w:u w:val="none"/>
          <w:lang w:val="zh-CN"/>
        </w:rPr>
        <w:t>区级部门预算执行和其他财务收支审计情况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仿宋_GB2312" w:cs="仿宋_GB2312"/>
          <w:b w:val="0"/>
          <w:bCs w:val="0"/>
          <w:color w:val="auto"/>
          <w:sz w:val="32"/>
          <w:szCs w:val="32"/>
          <w:highlight w:val="none"/>
          <w:u w:val="none"/>
          <w:lang w:val="en-US" w:eastAsia="zh-CN"/>
        </w:rPr>
        <w:t>从审计情况看，各单位预算执行情况基本面较好，能够认真履行职责，贯彻落实区委区政府和主管部门制定的各项政策措施，积极落实重点工作任务，资金使用较为规范。审计发现的主要问题：</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10" w:firstLine="617" w:firstLineChars="193"/>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预算编制方面</w:t>
      </w:r>
      <w:r>
        <w:rPr>
          <w:rFonts w:hint="eastAsia" w:eastAsia="楷体_GB2312" w:cs="楷体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一是</w:t>
      </w:r>
      <w:r>
        <w:rPr>
          <w:rFonts w:hint="eastAsia" w:ascii="宋体" w:hAnsi="宋体" w:eastAsia="仿宋_GB2312" w:cs="仿宋_GB2312"/>
          <w:b w:val="0"/>
          <w:bCs w:val="0"/>
          <w:color w:val="auto"/>
          <w:sz w:val="32"/>
          <w:szCs w:val="32"/>
          <w:highlight w:val="none"/>
          <w:u w:val="none"/>
          <w:lang w:val="en-US" w:eastAsia="zh-CN"/>
        </w:rPr>
        <w:t>预算申报不合理。</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单位连续两年申报同样的预算项目，两年内预算执行率均低于50%</w:t>
      </w:r>
      <w:r>
        <w:rPr>
          <w:rFonts w:hint="eastAsia" w:eastAsia="仿宋_GB2312" w:cs="仿宋_GB2312"/>
          <w:b w:val="0"/>
          <w:bCs w:val="0"/>
          <w:color w:val="auto"/>
          <w:sz w:val="32"/>
          <w:szCs w:val="32"/>
          <w:highlight w:val="none"/>
          <w:u w:val="none"/>
          <w:lang w:val="en-US" w:eastAsia="zh-CN"/>
        </w:rPr>
        <w:t>；个别</w:t>
      </w:r>
      <w:r>
        <w:rPr>
          <w:rFonts w:hint="eastAsia" w:ascii="宋体" w:hAnsi="宋体" w:eastAsia="仿宋_GB2312" w:cs="仿宋_GB2312"/>
          <w:b w:val="0"/>
          <w:bCs w:val="0"/>
          <w:color w:val="auto"/>
          <w:sz w:val="32"/>
          <w:szCs w:val="32"/>
          <w:highlight w:val="none"/>
          <w:u w:val="none"/>
          <w:lang w:val="en-US" w:eastAsia="zh-CN"/>
        </w:rPr>
        <w:t>单位连续三年申报同样的预算项目，三年内预算执行率均低于70%。</w:t>
      </w:r>
      <w:r>
        <w:rPr>
          <w:rFonts w:hint="eastAsia" w:eastAsia="仿宋_GB2312" w:cs="仿宋_GB2312"/>
          <w:b w:val="0"/>
          <w:bCs w:val="0"/>
          <w:color w:val="auto"/>
          <w:sz w:val="32"/>
          <w:szCs w:val="32"/>
          <w:highlight w:val="none"/>
          <w:u w:val="none"/>
          <w:lang w:val="en-US" w:eastAsia="zh-CN"/>
        </w:rPr>
        <w:t>二是</w:t>
      </w:r>
      <w:r>
        <w:rPr>
          <w:rFonts w:hint="eastAsia" w:ascii="宋体" w:hAnsi="宋体" w:eastAsia="仿宋_GB2312" w:cs="仿宋_GB2312"/>
          <w:b w:val="0"/>
          <w:bCs w:val="0"/>
          <w:color w:val="auto"/>
          <w:sz w:val="32"/>
          <w:szCs w:val="32"/>
          <w:highlight w:val="none"/>
          <w:u w:val="none"/>
          <w:lang w:val="en-US" w:eastAsia="zh-CN"/>
        </w:rPr>
        <w:t>预算绩效目标管理不严格。</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项目的《项目支出绩效目标申报表》数量指标未填报</w:t>
      </w:r>
      <w:r>
        <w:rPr>
          <w:rFonts w:hint="eastAsia" w:eastAsia="仿宋_GB2312" w:cs="仿宋_GB2312"/>
          <w:b w:val="0"/>
          <w:bCs w:val="0"/>
          <w:color w:val="auto"/>
          <w:sz w:val="32"/>
          <w:szCs w:val="32"/>
          <w:highlight w:val="none"/>
          <w:u w:val="none"/>
          <w:lang w:val="en-US" w:eastAsia="zh-CN"/>
        </w:rPr>
        <w:t>；个别单位</w:t>
      </w:r>
      <w:r>
        <w:rPr>
          <w:rFonts w:hint="eastAsia" w:ascii="宋体" w:hAnsi="宋体" w:eastAsia="仿宋_GB2312" w:cs="仿宋_GB2312"/>
          <w:b w:val="0"/>
          <w:bCs w:val="0"/>
          <w:color w:val="auto"/>
          <w:sz w:val="32"/>
          <w:szCs w:val="32"/>
          <w:highlight w:val="none"/>
          <w:u w:val="none"/>
          <w:lang w:val="en-US" w:eastAsia="zh-CN"/>
        </w:rPr>
        <w:t>预算项目未编制项目预算明细。</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10" w:firstLine="617" w:firstLineChars="193"/>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预算执行方面</w:t>
      </w:r>
      <w:r>
        <w:rPr>
          <w:rFonts w:hint="eastAsia" w:eastAsia="楷体_GB2312" w:cs="楷体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一是</w:t>
      </w:r>
      <w:r>
        <w:rPr>
          <w:rFonts w:hint="eastAsia" w:ascii="宋体" w:hAnsi="宋体" w:eastAsia="仿宋_GB2312" w:cs="仿宋_GB2312"/>
          <w:b w:val="0"/>
          <w:bCs w:val="0"/>
          <w:color w:val="auto"/>
          <w:sz w:val="32"/>
          <w:szCs w:val="32"/>
          <w:highlight w:val="none"/>
          <w:u w:val="none"/>
          <w:lang w:val="en-US" w:eastAsia="zh-CN"/>
        </w:rPr>
        <w:t>预算执行率不高。</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预算项目的执行率低于50%</w:t>
      </w:r>
      <w:r>
        <w:rPr>
          <w:rFonts w:hint="eastAsia" w:eastAsia="仿宋_GB2312" w:cs="仿宋_GB2312"/>
          <w:b w:val="0"/>
          <w:bCs w:val="0"/>
          <w:color w:val="auto"/>
          <w:sz w:val="32"/>
          <w:szCs w:val="32"/>
          <w:highlight w:val="none"/>
          <w:u w:val="none"/>
          <w:lang w:val="en-US" w:eastAsia="zh-CN"/>
        </w:rPr>
        <w:t>；个别单位</w:t>
      </w:r>
      <w:r>
        <w:rPr>
          <w:rFonts w:hint="eastAsia" w:ascii="宋体" w:hAnsi="宋体" w:eastAsia="仿宋_GB2312" w:cs="仿宋_GB2312"/>
          <w:b w:val="0"/>
          <w:bCs w:val="0"/>
          <w:color w:val="auto"/>
          <w:sz w:val="32"/>
          <w:szCs w:val="32"/>
          <w:highlight w:val="none"/>
          <w:u w:val="none"/>
          <w:lang w:val="en-US" w:eastAsia="zh-CN"/>
        </w:rPr>
        <w:t>前三季度支出进度均未达标。</w:t>
      </w:r>
      <w:r>
        <w:rPr>
          <w:rFonts w:hint="eastAsia" w:eastAsia="仿宋_GB2312" w:cs="仿宋_GB2312"/>
          <w:b w:val="0"/>
          <w:bCs w:val="0"/>
          <w:color w:val="auto"/>
          <w:sz w:val="32"/>
          <w:szCs w:val="32"/>
          <w:highlight w:val="none"/>
          <w:u w:val="none"/>
          <w:lang w:val="en-US" w:eastAsia="zh-CN"/>
        </w:rPr>
        <w:t>二是部分单位</w:t>
      </w:r>
      <w:r>
        <w:rPr>
          <w:rFonts w:hint="eastAsia" w:ascii="宋体" w:hAnsi="宋体" w:eastAsia="仿宋_GB2312" w:cs="仿宋_GB2312"/>
          <w:b w:val="0"/>
          <w:bCs w:val="0"/>
          <w:color w:val="auto"/>
          <w:sz w:val="32"/>
          <w:szCs w:val="32"/>
          <w:highlight w:val="none"/>
          <w:u w:val="none"/>
          <w:lang w:val="en-US" w:eastAsia="zh-CN"/>
        </w:rPr>
        <w:t>超预算范围列支</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未按照预算批复</w:t>
      </w:r>
      <w:r>
        <w:rPr>
          <w:rFonts w:hint="eastAsia" w:eastAsia="仿宋_GB2312" w:cs="仿宋_GB2312"/>
          <w:b w:val="0"/>
          <w:bCs w:val="0"/>
          <w:color w:val="auto"/>
          <w:sz w:val="32"/>
          <w:szCs w:val="32"/>
          <w:highlight w:val="none"/>
          <w:u w:val="none"/>
          <w:lang w:val="en-US" w:eastAsia="zh-CN"/>
        </w:rPr>
        <w:t>内容</w:t>
      </w:r>
      <w:r>
        <w:rPr>
          <w:rFonts w:hint="eastAsia" w:ascii="宋体" w:hAnsi="宋体" w:eastAsia="仿宋_GB2312" w:cs="仿宋_GB2312"/>
          <w:b w:val="0"/>
          <w:bCs w:val="0"/>
          <w:color w:val="auto"/>
          <w:sz w:val="32"/>
          <w:szCs w:val="32"/>
          <w:highlight w:val="none"/>
          <w:u w:val="none"/>
          <w:lang w:val="en-US" w:eastAsia="zh-CN"/>
        </w:rPr>
        <w:t>使用专项资金。</w:t>
      </w:r>
      <w:r>
        <w:rPr>
          <w:rFonts w:hint="eastAsia" w:eastAsia="仿宋_GB2312" w:cs="仿宋_GB2312"/>
          <w:b w:val="0"/>
          <w:bCs w:val="0"/>
          <w:color w:val="auto"/>
          <w:sz w:val="32"/>
          <w:szCs w:val="32"/>
          <w:highlight w:val="none"/>
          <w:u w:val="none"/>
          <w:lang w:val="en-US" w:eastAsia="zh-CN"/>
        </w:rPr>
        <w:t>三是</w:t>
      </w:r>
      <w:r>
        <w:rPr>
          <w:rFonts w:hint="eastAsia" w:ascii="宋体" w:hAnsi="宋体" w:eastAsia="仿宋_GB2312" w:cs="仿宋_GB2312"/>
          <w:b w:val="0"/>
          <w:bCs w:val="0"/>
          <w:color w:val="auto"/>
          <w:sz w:val="32"/>
          <w:szCs w:val="32"/>
          <w:highlight w:val="none"/>
          <w:u w:val="none"/>
          <w:lang w:val="en-US" w:eastAsia="zh-CN"/>
        </w:rPr>
        <w:t>政府采购管理不规范。部分项目未履行政府采购程序或采购审批程序后置</w:t>
      </w:r>
      <w:r>
        <w:rPr>
          <w:rFonts w:hint="eastAsia" w:eastAsia="仿宋_GB2312" w:cs="仿宋_GB2312"/>
          <w:b w:val="0"/>
          <w:bCs w:val="0"/>
          <w:color w:val="auto"/>
          <w:sz w:val="32"/>
          <w:szCs w:val="32"/>
          <w:highlight w:val="none"/>
          <w:u w:val="none"/>
          <w:lang w:val="en-US" w:eastAsia="zh-CN"/>
        </w:rPr>
        <w:t>；个别单位</w:t>
      </w:r>
      <w:r>
        <w:rPr>
          <w:rFonts w:hint="eastAsia" w:ascii="宋体" w:hAnsi="宋体" w:eastAsia="仿宋_GB2312" w:cs="仿宋_GB2312"/>
          <w:b w:val="0"/>
          <w:bCs w:val="0"/>
          <w:color w:val="auto"/>
          <w:sz w:val="32"/>
          <w:szCs w:val="32"/>
          <w:highlight w:val="none"/>
          <w:u w:val="none"/>
          <w:lang w:val="en-US" w:eastAsia="zh-CN"/>
        </w:rPr>
        <w:t>未编制政府采购计划。</w:t>
      </w:r>
      <w:r>
        <w:rPr>
          <w:rFonts w:hint="eastAsia" w:eastAsia="仿宋_GB2312" w:cs="仿宋_GB2312"/>
          <w:b w:val="0"/>
          <w:bCs w:val="0"/>
          <w:color w:val="auto"/>
          <w:sz w:val="32"/>
          <w:szCs w:val="32"/>
          <w:highlight w:val="none"/>
          <w:u w:val="none"/>
          <w:lang w:val="en-US" w:eastAsia="zh-CN"/>
        </w:rPr>
        <w:t>四是</w:t>
      </w:r>
      <w:r>
        <w:rPr>
          <w:rFonts w:hint="eastAsia" w:ascii="宋体" w:hAnsi="宋体" w:eastAsia="仿宋_GB2312" w:cs="仿宋_GB2312"/>
          <w:b w:val="0"/>
          <w:bCs w:val="0"/>
          <w:color w:val="auto"/>
          <w:sz w:val="32"/>
          <w:szCs w:val="32"/>
          <w:highlight w:val="none"/>
          <w:u w:val="none"/>
          <w:lang w:val="en-US" w:eastAsia="zh-CN"/>
        </w:rPr>
        <w:t>政府购买服务预算管理不到位。存在政府购买服务项目管理不到位、购买服务项目比选程序不合规的现象</w:t>
      </w:r>
      <w:r>
        <w:rPr>
          <w:rFonts w:hint="eastAsia" w:eastAsia="仿宋_GB2312" w:cs="仿宋_GB2312"/>
          <w:b w:val="0"/>
          <w:bCs w:val="0"/>
          <w:color w:val="auto"/>
          <w:sz w:val="32"/>
          <w:szCs w:val="32"/>
          <w:highlight w:val="none"/>
          <w:u w:val="none"/>
          <w:lang w:val="en-US" w:eastAsia="zh-CN"/>
        </w:rPr>
        <w:t>；个别</w:t>
      </w:r>
      <w:r>
        <w:rPr>
          <w:rFonts w:hint="eastAsia" w:ascii="宋体" w:hAnsi="宋体" w:eastAsia="仿宋_GB2312" w:cs="仿宋_GB2312"/>
          <w:b w:val="0"/>
          <w:bCs w:val="0"/>
          <w:color w:val="auto"/>
          <w:sz w:val="32"/>
          <w:szCs w:val="32"/>
          <w:highlight w:val="none"/>
          <w:u w:val="none"/>
          <w:lang w:val="en-US" w:eastAsia="zh-CN"/>
        </w:rPr>
        <w:t>事项的政府购买服务承接主体不具备相应条件</w:t>
      </w:r>
      <w:r>
        <w:rPr>
          <w:rFonts w:hint="eastAsia" w:eastAsia="仿宋_GB2312" w:cs="仿宋_GB2312"/>
          <w:b w:val="0"/>
          <w:bCs w:val="0"/>
          <w:color w:val="auto"/>
          <w:sz w:val="32"/>
          <w:szCs w:val="32"/>
          <w:highlight w:val="none"/>
          <w:u w:val="none"/>
          <w:lang w:val="en-US" w:eastAsia="zh-CN"/>
        </w:rPr>
        <w:t>；个别</w:t>
      </w:r>
      <w:r>
        <w:rPr>
          <w:rFonts w:hint="eastAsia" w:ascii="宋体" w:hAnsi="宋体" w:eastAsia="仿宋_GB2312" w:cs="仿宋_GB2312"/>
          <w:b w:val="0"/>
          <w:bCs w:val="0"/>
          <w:color w:val="auto"/>
          <w:sz w:val="32"/>
          <w:szCs w:val="32"/>
          <w:highlight w:val="none"/>
          <w:u w:val="none"/>
          <w:lang w:val="en-US" w:eastAsia="zh-CN"/>
        </w:rPr>
        <w:t>单位未按要求公开政府购买服务预算。</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落实“过紧日子”要求方面</w:t>
      </w:r>
      <w:r>
        <w:rPr>
          <w:rFonts w:hint="eastAsia" w:eastAsia="楷体_GB2312" w:cs="楷体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一是部分单位</w:t>
      </w:r>
      <w:r>
        <w:rPr>
          <w:rFonts w:hint="eastAsia" w:ascii="宋体" w:hAnsi="宋体" w:eastAsia="仿宋_GB2312" w:cs="仿宋_GB2312"/>
          <w:b w:val="0"/>
          <w:bCs w:val="0"/>
          <w:color w:val="auto"/>
          <w:sz w:val="32"/>
          <w:szCs w:val="32"/>
          <w:highlight w:val="none"/>
          <w:u w:val="none"/>
          <w:lang w:val="en-US" w:eastAsia="zh-CN"/>
        </w:rPr>
        <w:t>一般性支出压减不到位</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未能达到区财政严控一般性支出要求，一般性支出占一般公共预算支出比例高于上一年</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对培训费、会议费的</w:t>
      </w:r>
      <w:r>
        <w:rPr>
          <w:rFonts w:hint="default" w:ascii="宋体" w:hAnsi="宋体" w:eastAsia="仿宋_GB2312" w:cs="仿宋_GB2312"/>
          <w:b w:val="0"/>
          <w:bCs w:val="0"/>
          <w:color w:val="auto"/>
          <w:sz w:val="32"/>
          <w:szCs w:val="32"/>
          <w:highlight w:val="none"/>
          <w:u w:val="none"/>
          <w:lang w:val="en-US" w:eastAsia="zh-CN"/>
        </w:rPr>
        <w:t>支出控制</w:t>
      </w:r>
      <w:r>
        <w:rPr>
          <w:rFonts w:hint="eastAsia" w:ascii="宋体" w:hAnsi="宋体" w:eastAsia="仿宋_GB2312" w:cs="仿宋_GB2312"/>
          <w:b w:val="0"/>
          <w:bCs w:val="0"/>
          <w:color w:val="auto"/>
          <w:sz w:val="32"/>
          <w:szCs w:val="32"/>
          <w:highlight w:val="none"/>
          <w:u w:val="none"/>
          <w:lang w:val="en-US" w:eastAsia="zh-CN"/>
        </w:rPr>
        <w:t>不严格，造成超标准支付。</w:t>
      </w:r>
      <w:r>
        <w:rPr>
          <w:rFonts w:hint="eastAsia" w:eastAsia="仿宋_GB2312" w:cs="仿宋_GB2312"/>
          <w:b w:val="0"/>
          <w:bCs w:val="0"/>
          <w:color w:val="auto"/>
          <w:sz w:val="32"/>
          <w:szCs w:val="32"/>
          <w:highlight w:val="none"/>
          <w:u w:val="none"/>
          <w:lang w:val="en-US" w:eastAsia="zh-CN"/>
        </w:rPr>
        <w:t>二是部分</w:t>
      </w:r>
      <w:r>
        <w:rPr>
          <w:rFonts w:hint="eastAsia" w:ascii="宋体" w:hAnsi="宋体" w:eastAsia="仿宋_GB2312" w:cs="仿宋_GB2312"/>
          <w:b w:val="0"/>
          <w:bCs w:val="0"/>
          <w:color w:val="auto"/>
          <w:sz w:val="32"/>
          <w:szCs w:val="32"/>
          <w:highlight w:val="none"/>
          <w:u w:val="none"/>
          <w:lang w:val="en-US" w:eastAsia="zh-CN"/>
        </w:rPr>
        <w:t>单位以前年度项目结转结余、下属单位存量资金等未上缴区财政。</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宋体" w:hAnsi="宋体" w:eastAsia="仿宋_GB2312" w:cs="仿宋_GB2312"/>
          <w:b w:val="0"/>
          <w:bCs w:val="0"/>
          <w:color w:val="auto"/>
          <w:sz w:val="32"/>
          <w:szCs w:val="32"/>
          <w:highlight w:val="none"/>
          <w:u w:val="none"/>
          <w:lang w:val="en-US" w:eastAsia="zh-CN"/>
        </w:rPr>
      </w:pPr>
      <w:r>
        <w:rPr>
          <w:rFonts w:hint="eastAsia" w:ascii="宋体" w:hAnsi="宋体" w:eastAsia="楷体" w:cs="楷体"/>
          <w:b w:val="0"/>
          <w:bCs w:val="0"/>
          <w:color w:val="auto"/>
          <w:sz w:val="32"/>
          <w:szCs w:val="32"/>
          <w:highlight w:val="none"/>
          <w:u w:val="none"/>
          <w:lang w:val="en-US" w:eastAsia="zh-CN"/>
        </w:rPr>
        <w:t>行政事业性资产管理方面</w:t>
      </w:r>
      <w:r>
        <w:rPr>
          <w:rFonts w:hint="eastAsia" w:eastAsia="楷体" w:cs="楷体"/>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存在</w:t>
      </w:r>
      <w:r>
        <w:rPr>
          <w:rFonts w:hint="eastAsia" w:ascii="宋体" w:hAnsi="宋体" w:eastAsia="仿宋_GB2312" w:cs="仿宋_GB2312"/>
          <w:b w:val="0"/>
          <w:bCs w:val="0"/>
          <w:color w:val="auto"/>
          <w:sz w:val="32"/>
          <w:szCs w:val="32"/>
          <w:highlight w:val="none"/>
          <w:u w:val="none"/>
          <w:lang w:val="en-US" w:eastAsia="zh-CN"/>
        </w:rPr>
        <w:t>部分行政事业单位资产管理和使用不严格</w:t>
      </w:r>
      <w:r>
        <w:rPr>
          <w:rFonts w:hint="eastAsia" w:eastAsia="仿宋_GB2312" w:cs="仿宋_GB2312"/>
          <w:b w:val="0"/>
          <w:bCs w:val="0"/>
          <w:color w:val="auto"/>
          <w:sz w:val="32"/>
          <w:szCs w:val="32"/>
          <w:highlight w:val="none"/>
          <w:u w:val="none"/>
          <w:lang w:val="en-US" w:eastAsia="zh-CN"/>
        </w:rPr>
        <w:t>问题</w:t>
      </w:r>
      <w:r>
        <w:rPr>
          <w:rFonts w:hint="eastAsia" w:ascii="宋体" w:hAnsi="宋体" w:eastAsia="仿宋_GB2312" w:cs="仿宋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表现为</w:t>
      </w:r>
      <w:r>
        <w:rPr>
          <w:rFonts w:hint="eastAsia" w:ascii="宋体" w:hAnsi="宋体" w:eastAsia="仿宋_GB2312" w:cs="仿宋_GB2312"/>
          <w:b w:val="0"/>
          <w:bCs w:val="0"/>
          <w:color w:val="auto"/>
          <w:sz w:val="32"/>
          <w:szCs w:val="32"/>
          <w:highlight w:val="none"/>
          <w:u w:val="none"/>
          <w:lang w:val="en-US" w:eastAsia="zh-CN"/>
        </w:rPr>
        <w:t>固定资产闲置</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未将部分固定资产、无形资产及时入账。</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楷体_GB2312" w:cs="楷体_GB2312"/>
          <w:b w:val="0"/>
          <w:bCs w:val="0"/>
          <w:color w:val="auto"/>
          <w:sz w:val="32"/>
          <w:szCs w:val="32"/>
          <w:highlight w:val="none"/>
          <w:u w:val="none"/>
          <w:lang w:val="en-US" w:eastAsia="zh-CN"/>
        </w:rPr>
        <w:t>重大经济事项决策方面</w:t>
      </w:r>
      <w:r>
        <w:rPr>
          <w:rFonts w:hint="eastAsia"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存在</w:t>
      </w:r>
      <w:r>
        <w:rPr>
          <w:rFonts w:hint="eastAsia" w:ascii="宋体" w:hAnsi="宋体" w:eastAsia="仿宋_GB2312" w:cs="仿宋_GB2312"/>
          <w:b w:val="0"/>
          <w:bCs w:val="0"/>
          <w:color w:val="auto"/>
          <w:sz w:val="32"/>
          <w:szCs w:val="32"/>
          <w:highlight w:val="none"/>
          <w:u w:val="none"/>
          <w:lang w:val="en-US" w:eastAsia="zh-CN"/>
        </w:rPr>
        <w:t>部分单位重大经济事项的决策环节或执行环节不严谨</w:t>
      </w:r>
      <w:r>
        <w:rPr>
          <w:rFonts w:hint="eastAsia" w:eastAsia="仿宋_GB2312" w:cs="仿宋_GB2312"/>
          <w:b w:val="0"/>
          <w:bCs w:val="0"/>
          <w:color w:val="auto"/>
          <w:sz w:val="32"/>
          <w:szCs w:val="32"/>
          <w:highlight w:val="none"/>
          <w:u w:val="none"/>
          <w:lang w:val="en-US" w:eastAsia="zh-CN"/>
        </w:rPr>
        <w:t>问题，主要是</w:t>
      </w:r>
      <w:r>
        <w:rPr>
          <w:rFonts w:hint="eastAsia" w:ascii="宋体" w:hAnsi="宋体" w:eastAsia="仿宋_GB2312" w:cs="仿宋_GB2312"/>
          <w:b w:val="0"/>
          <w:bCs w:val="0"/>
          <w:color w:val="auto"/>
          <w:sz w:val="32"/>
          <w:szCs w:val="32"/>
          <w:highlight w:val="none"/>
          <w:u w:val="none"/>
          <w:lang w:val="en-US" w:eastAsia="zh-CN"/>
        </w:rPr>
        <w:t>部分“三重一大”事项未履行集体决策程序</w:t>
      </w:r>
      <w:r>
        <w:rPr>
          <w:rFonts w:hint="eastAsia" w:eastAsia="仿宋_GB2312" w:cs="仿宋_GB2312"/>
          <w:b w:val="0"/>
          <w:bCs w:val="0"/>
          <w:color w:val="auto"/>
          <w:sz w:val="32"/>
          <w:szCs w:val="32"/>
          <w:highlight w:val="none"/>
          <w:u w:val="none"/>
          <w:lang w:val="en-US" w:eastAsia="zh-CN"/>
        </w:rPr>
        <w:t>或以</w:t>
      </w:r>
      <w:r>
        <w:rPr>
          <w:rFonts w:hint="eastAsia" w:ascii="宋体" w:hAnsi="宋体" w:eastAsia="仿宋_GB2312" w:cs="仿宋_GB2312"/>
          <w:b w:val="0"/>
          <w:bCs w:val="0"/>
          <w:color w:val="auto"/>
          <w:sz w:val="32"/>
          <w:szCs w:val="32"/>
          <w:highlight w:val="none"/>
          <w:u w:val="none"/>
          <w:lang w:val="en-US" w:eastAsia="zh-CN"/>
        </w:rPr>
        <w:t>超出集体决策</w:t>
      </w:r>
      <w:r>
        <w:rPr>
          <w:rFonts w:hint="eastAsia" w:eastAsia="仿宋_GB2312" w:cs="仿宋_GB2312"/>
          <w:b w:val="0"/>
          <w:bCs w:val="0"/>
          <w:color w:val="auto"/>
          <w:sz w:val="32"/>
          <w:szCs w:val="32"/>
          <w:highlight w:val="none"/>
          <w:u w:val="none"/>
          <w:lang w:val="en-US" w:eastAsia="zh-CN"/>
        </w:rPr>
        <w:t>的</w:t>
      </w:r>
      <w:r>
        <w:rPr>
          <w:rFonts w:hint="eastAsia" w:ascii="宋体" w:hAnsi="宋体" w:eastAsia="仿宋_GB2312" w:cs="仿宋_GB2312"/>
          <w:b w:val="0"/>
          <w:bCs w:val="0"/>
          <w:color w:val="auto"/>
          <w:sz w:val="32"/>
          <w:szCs w:val="32"/>
          <w:highlight w:val="none"/>
          <w:u w:val="none"/>
          <w:lang w:val="en-US" w:eastAsia="zh-CN"/>
        </w:rPr>
        <w:t>审定金额列支</w:t>
      </w:r>
      <w:r>
        <w:rPr>
          <w:rFonts w:hint="eastAsia" w:eastAsia="仿宋_GB2312" w:cs="仿宋_GB2312"/>
          <w:b w:val="0"/>
          <w:bCs w:val="0"/>
          <w:color w:val="auto"/>
          <w:sz w:val="32"/>
          <w:szCs w:val="32"/>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zh-CN"/>
        </w:rPr>
        <w:t>三、重大政策落实跟踪审计情况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zh-CN"/>
        </w:rPr>
      </w:pPr>
      <w:r>
        <w:rPr>
          <w:rFonts w:hint="eastAsia" w:ascii="宋体" w:hAnsi="宋体" w:eastAsia="仿宋_GB2312" w:cs="仿宋_GB2312"/>
          <w:b w:val="0"/>
          <w:bCs w:val="0"/>
          <w:color w:val="auto"/>
          <w:sz w:val="32"/>
          <w:szCs w:val="32"/>
          <w:highlight w:val="none"/>
          <w:u w:val="none"/>
          <w:lang w:val="zh-CN"/>
        </w:rPr>
        <w:t>按照审计署统一</w:t>
      </w:r>
      <w:r>
        <w:rPr>
          <w:rFonts w:hint="eastAsia" w:ascii="宋体" w:hAnsi="宋体" w:eastAsia="仿宋_GB2312" w:cs="仿宋_GB2312"/>
          <w:b w:val="0"/>
          <w:bCs w:val="0"/>
          <w:color w:val="auto"/>
          <w:sz w:val="32"/>
          <w:szCs w:val="32"/>
          <w:highlight w:val="none"/>
          <w:u w:val="none"/>
          <w:lang w:val="en-US" w:eastAsia="zh-CN"/>
        </w:rPr>
        <w:t>部署</w:t>
      </w:r>
      <w:r>
        <w:rPr>
          <w:rFonts w:hint="eastAsia" w:ascii="宋体" w:hAnsi="宋体" w:eastAsia="仿宋_GB2312" w:cs="仿宋_GB2312"/>
          <w:b w:val="0"/>
          <w:bCs w:val="0"/>
          <w:color w:val="auto"/>
          <w:sz w:val="32"/>
          <w:szCs w:val="32"/>
          <w:highlight w:val="none"/>
          <w:u w:val="none"/>
          <w:lang w:val="zh-CN"/>
        </w:rPr>
        <w:t>，市审计局通过“市区联动、分级实施”的方式，</w:t>
      </w:r>
      <w:r>
        <w:rPr>
          <w:rFonts w:hint="eastAsia" w:ascii="宋体" w:hAnsi="宋体" w:eastAsia="仿宋_GB2312" w:cs="仿宋_GB2312"/>
          <w:b w:val="0"/>
          <w:bCs w:val="0"/>
          <w:color w:val="auto"/>
          <w:sz w:val="32"/>
          <w:szCs w:val="32"/>
          <w:highlight w:val="none"/>
          <w:u w:val="none"/>
          <w:lang w:val="en-US" w:eastAsia="zh-CN"/>
        </w:rPr>
        <w:t>组织各区</w:t>
      </w:r>
      <w:r>
        <w:rPr>
          <w:rFonts w:hint="eastAsia" w:ascii="宋体" w:hAnsi="宋体" w:eastAsia="仿宋_GB2312" w:cs="仿宋_GB2312"/>
          <w:b w:val="0"/>
          <w:bCs w:val="0"/>
          <w:color w:val="auto"/>
          <w:sz w:val="32"/>
          <w:szCs w:val="32"/>
          <w:highlight w:val="none"/>
          <w:u w:val="none"/>
          <w:lang w:val="zh-CN"/>
        </w:rPr>
        <w:t>开展重大政策措施落实情况跟踪审计。重点关注了我区中央直达资金分配下达、资金拨付、资金使用和项目实施情况。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zh-CN"/>
        </w:rPr>
      </w:pPr>
      <w:r>
        <w:rPr>
          <w:rFonts w:hint="eastAsia" w:ascii="宋体" w:hAnsi="宋体" w:eastAsia="仿宋_GB2312" w:cs="仿宋_GB2312"/>
          <w:b w:val="0"/>
          <w:bCs w:val="0"/>
          <w:color w:val="auto"/>
          <w:sz w:val="32"/>
          <w:szCs w:val="32"/>
          <w:highlight w:val="none"/>
          <w:u w:val="none"/>
          <w:lang w:val="en-US" w:eastAsia="zh-CN"/>
        </w:rPr>
        <w:t>区财政不断完善常态化财政资金直达机制，及时</w:t>
      </w:r>
      <w:r>
        <w:rPr>
          <w:rFonts w:hint="eastAsia" w:ascii="宋体" w:hAnsi="宋体" w:eastAsia="仿宋_GB2312" w:cs="仿宋_GB2312"/>
          <w:b w:val="0"/>
          <w:bCs w:val="0"/>
          <w:color w:val="auto"/>
          <w:sz w:val="32"/>
          <w:szCs w:val="32"/>
          <w:highlight w:val="none"/>
          <w:u w:val="none"/>
          <w:lang w:val="zh-CN"/>
        </w:rPr>
        <w:t>分配下达直达资金</w:t>
      </w:r>
      <w:r>
        <w:rPr>
          <w:rFonts w:hint="eastAsia" w:eastAsia="仿宋_GB2312" w:cs="仿宋_GB2312"/>
          <w:b w:val="0"/>
          <w:bCs w:val="0"/>
          <w:color w:val="auto"/>
          <w:sz w:val="32"/>
          <w:szCs w:val="32"/>
          <w:highlight w:val="none"/>
          <w:u w:val="none"/>
          <w:lang w:val="zh-CN"/>
        </w:rPr>
        <w:t>。</w:t>
      </w:r>
      <w:r>
        <w:rPr>
          <w:rFonts w:hint="eastAsia" w:ascii="宋体" w:hAnsi="宋体" w:eastAsia="仿宋_GB2312" w:cs="仿宋_GB2312"/>
          <w:b w:val="0"/>
          <w:bCs w:val="0"/>
          <w:color w:val="auto"/>
          <w:sz w:val="32"/>
          <w:szCs w:val="32"/>
          <w:highlight w:val="none"/>
          <w:u w:val="none"/>
          <w:lang w:val="zh-CN"/>
        </w:rPr>
        <w:t>主要用于城乡居民基本医疗保险补助、基本公共卫生服务补助、城乡义务教育补助和保障性安居工程等</w:t>
      </w:r>
      <w:r>
        <w:rPr>
          <w:rFonts w:hint="eastAsia" w:ascii="宋体" w:hAnsi="宋体" w:eastAsia="仿宋_GB2312" w:cs="仿宋_GB2312"/>
          <w:b w:val="0"/>
          <w:bCs w:val="0"/>
          <w:color w:val="auto"/>
          <w:sz w:val="32"/>
          <w:szCs w:val="32"/>
          <w:highlight w:val="none"/>
          <w:u w:val="none"/>
          <w:lang w:val="en-US" w:eastAsia="zh-CN"/>
        </w:rPr>
        <w:t>民生领域。审计结果表明</w:t>
      </w:r>
      <w:r>
        <w:rPr>
          <w:rFonts w:hint="eastAsia" w:ascii="宋体" w:hAnsi="宋体" w:eastAsia="仿宋_GB2312" w:cs="仿宋_GB2312"/>
          <w:b w:val="0"/>
          <w:bCs w:val="0"/>
          <w:color w:val="auto"/>
          <w:sz w:val="32"/>
          <w:szCs w:val="32"/>
          <w:highlight w:val="none"/>
          <w:u w:val="none"/>
          <w:lang w:val="zh-CN"/>
        </w:rPr>
        <w:t>，</w:t>
      </w:r>
      <w:r>
        <w:rPr>
          <w:rFonts w:hint="eastAsia" w:ascii="宋体" w:hAnsi="宋体" w:eastAsia="仿宋_GB2312" w:cs="仿宋_GB2312"/>
          <w:b w:val="0"/>
          <w:bCs w:val="0"/>
          <w:color w:val="auto"/>
          <w:sz w:val="32"/>
          <w:szCs w:val="32"/>
          <w:highlight w:val="none"/>
          <w:u w:val="none"/>
          <w:lang w:val="en-US" w:eastAsia="zh-CN"/>
        </w:rPr>
        <w:t>直达资金能够及时分配、下达和使用，</w:t>
      </w:r>
      <w:r>
        <w:rPr>
          <w:rFonts w:hint="eastAsia" w:ascii="宋体" w:hAnsi="宋体" w:eastAsia="仿宋_GB2312" w:cs="仿宋_GB2312"/>
          <w:b w:val="0"/>
          <w:bCs w:val="0"/>
          <w:color w:val="auto"/>
          <w:sz w:val="32"/>
          <w:szCs w:val="32"/>
          <w:highlight w:val="none"/>
          <w:u w:val="none"/>
          <w:lang w:val="zh-CN"/>
        </w:rPr>
        <w:t>有效保障了基本民生，</w:t>
      </w:r>
      <w:r>
        <w:rPr>
          <w:rFonts w:hint="eastAsia" w:ascii="宋体" w:hAnsi="宋体" w:eastAsia="仿宋_GB2312" w:cs="仿宋_GB2312"/>
          <w:b w:val="0"/>
          <w:bCs w:val="0"/>
          <w:color w:val="auto"/>
          <w:sz w:val="32"/>
          <w:szCs w:val="32"/>
          <w:highlight w:val="none"/>
          <w:u w:val="none"/>
          <w:lang w:val="en-US" w:eastAsia="zh-CN"/>
        </w:rPr>
        <w:t>符合直达资金的政策导向。</w:t>
      </w:r>
      <w:r>
        <w:rPr>
          <w:rFonts w:hint="eastAsia" w:ascii="宋体" w:hAnsi="宋体" w:eastAsia="仿宋_GB2312" w:cs="仿宋_GB2312"/>
          <w:b w:val="0"/>
          <w:bCs w:val="0"/>
          <w:dstrike w:val="0"/>
          <w:color w:val="auto"/>
          <w:sz w:val="32"/>
          <w:szCs w:val="32"/>
          <w:highlight w:val="none"/>
          <w:u w:val="none"/>
          <w:lang w:val="en-US" w:eastAsia="zh-CN"/>
        </w:rPr>
        <w:t>审计</w:t>
      </w:r>
      <w:r>
        <w:rPr>
          <w:rFonts w:hint="eastAsia" w:ascii="宋体" w:hAnsi="宋体" w:eastAsia="仿宋_GB2312" w:cs="仿宋_GB2312"/>
          <w:b w:val="0"/>
          <w:bCs w:val="0"/>
          <w:color w:val="auto"/>
          <w:sz w:val="32"/>
          <w:szCs w:val="32"/>
          <w:highlight w:val="none"/>
          <w:u w:val="none"/>
          <w:lang w:val="zh-CN"/>
        </w:rPr>
        <w:t>未发现虚报冒领、截留挪用直达资金的现象。</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zh-CN"/>
        </w:rPr>
        <w:t>四、重点民生资金和项目审计情况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宋体" w:hAnsi="宋体" w:eastAsia="仿宋_GB2312" w:cs="仿宋_GB2312"/>
          <w:b w:val="0"/>
          <w:bCs w:val="0"/>
          <w:color w:val="auto"/>
          <w:sz w:val="32"/>
          <w:szCs w:val="32"/>
          <w:highlight w:val="none"/>
          <w:u w:val="none"/>
          <w:lang w:val="en-US" w:eastAsia="zh-CN"/>
        </w:rPr>
        <w:t>聚焦助企纾困、城市精细化治理、教育文化、司法援助等重点领域</w:t>
      </w:r>
      <w:r>
        <w:rPr>
          <w:rFonts w:hint="eastAsia" w:eastAsia="仿宋_GB2312" w:cs="仿宋_GB2312"/>
          <w:b w:val="0"/>
          <w:bCs w:val="0"/>
          <w:color w:val="auto"/>
          <w:sz w:val="32"/>
          <w:szCs w:val="32"/>
          <w:highlight w:val="none"/>
          <w:u w:val="none"/>
          <w:lang w:val="en-US" w:eastAsia="zh-CN"/>
        </w:rPr>
        <w:t>开展审计</w:t>
      </w:r>
      <w:r>
        <w:rPr>
          <w:rFonts w:hint="eastAsia" w:ascii="宋体" w:hAnsi="宋体" w:eastAsia="仿宋_GB2312" w:cs="仿宋_GB2312"/>
          <w:b w:val="0"/>
          <w:bCs w:val="0"/>
          <w:color w:val="auto"/>
          <w:sz w:val="32"/>
          <w:szCs w:val="32"/>
          <w:highlight w:val="none"/>
          <w:u w:val="none"/>
          <w:lang w:val="en-US" w:eastAsia="zh-CN"/>
        </w:rPr>
        <w:t>，涉及财政资金12.32亿元。这些专项资金的投入对保供稳价、繁荣区域市场起到了积极作用，推动实现街巷物业管理全覆盖，</w:t>
      </w:r>
      <w:r>
        <w:rPr>
          <w:rFonts w:hint="eastAsia" w:ascii="宋体" w:hAnsi="宋体" w:eastAsia="仿宋_GB2312" w:cs="仿宋_GB2312"/>
          <w:b w:val="0"/>
          <w:bCs w:val="0"/>
          <w:dstrike w:val="0"/>
          <w:color w:val="auto"/>
          <w:sz w:val="32"/>
          <w:szCs w:val="32"/>
          <w:highlight w:val="none"/>
          <w:u w:val="none"/>
          <w:lang w:val="en-US" w:eastAsia="zh-CN"/>
        </w:rPr>
        <w:t>鼓励引导先进</w:t>
      </w:r>
      <w:r>
        <w:rPr>
          <w:rFonts w:hint="eastAsia" w:ascii="宋体" w:hAnsi="宋体" w:eastAsia="仿宋_GB2312" w:cs="仿宋_GB2312"/>
          <w:b w:val="0"/>
          <w:bCs w:val="0"/>
          <w:color w:val="auto"/>
          <w:sz w:val="32"/>
          <w:szCs w:val="32"/>
          <w:highlight w:val="none"/>
          <w:u w:val="none"/>
          <w:lang w:val="en-US" w:eastAsia="zh-CN"/>
        </w:rPr>
        <w:t>文艺产品的创作和供给，</w:t>
      </w:r>
      <w:r>
        <w:rPr>
          <w:rFonts w:hint="eastAsia" w:ascii="宋体" w:hAnsi="宋体" w:eastAsia="仿宋_GB2312" w:cs="仿宋_GB2312"/>
          <w:b w:val="0"/>
          <w:bCs w:val="0"/>
          <w:dstrike w:val="0"/>
          <w:color w:val="auto"/>
          <w:sz w:val="32"/>
          <w:szCs w:val="32"/>
          <w:highlight w:val="none"/>
          <w:u w:val="none"/>
          <w:lang w:val="en-US" w:eastAsia="zh-CN"/>
        </w:rPr>
        <w:t>促进</w:t>
      </w:r>
      <w:r>
        <w:rPr>
          <w:rFonts w:hint="eastAsia" w:ascii="宋体" w:hAnsi="宋体" w:eastAsia="仿宋_GB2312" w:cs="仿宋_GB2312"/>
          <w:b w:val="0"/>
          <w:bCs w:val="0"/>
          <w:color w:val="auto"/>
          <w:sz w:val="32"/>
          <w:szCs w:val="32"/>
          <w:highlight w:val="none"/>
          <w:u w:val="none"/>
          <w:lang w:val="en-US" w:eastAsia="zh-CN"/>
        </w:rPr>
        <w:t>法律援助更加专业化、便捷化。审计发现的主要问题：</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（一）对重点商贸企业和小型生活必需品保障类市场主体疫情防控补贴资金审核不严谨。</w:t>
      </w:r>
      <w:r>
        <w:rPr>
          <w:rFonts w:hint="eastAsia" w:ascii="宋体" w:hAnsi="宋体" w:eastAsia="仿宋_GB2312" w:cs="仿宋_GB2312"/>
          <w:b w:val="0"/>
          <w:bCs w:val="0"/>
          <w:color w:val="auto"/>
          <w:sz w:val="32"/>
          <w:szCs w:val="32"/>
          <w:highlight w:val="none"/>
          <w:u w:val="none"/>
          <w:lang w:val="en-US" w:eastAsia="zh-CN"/>
        </w:rPr>
        <w:t>对3家企业的保障供应奖励审核标准不统一</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3家企业缺少持续经营证明材料</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3家便利店未按要求提供营业执照</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超标准发放部分防疫物资</w:t>
      </w:r>
      <w:r>
        <w:rPr>
          <w:rFonts w:hint="eastAsia" w:ascii="宋体" w:hAnsi="宋体" w:eastAsia="仿宋_GB2312"/>
          <w:b w:val="0"/>
          <w:bCs w:val="0"/>
          <w:color w:val="auto"/>
          <w:sz w:val="32"/>
          <w:szCs w:val="32"/>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宋体" w:hAnsi="宋体"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zh-CN" w:eastAsia="zh-CN"/>
        </w:rPr>
        <w:t>（</w:t>
      </w:r>
      <w:r>
        <w:rPr>
          <w:rFonts w:hint="eastAsia" w:ascii="楷体_GB2312" w:hAnsi="楷体_GB2312" w:eastAsia="楷体_GB2312" w:cs="楷体_GB2312"/>
          <w:b w:val="0"/>
          <w:bCs w:val="0"/>
          <w:color w:val="auto"/>
          <w:sz w:val="32"/>
          <w:szCs w:val="32"/>
          <w:highlight w:val="none"/>
          <w:u w:val="none"/>
          <w:lang w:val="en-US" w:eastAsia="zh-CN"/>
        </w:rPr>
        <w:t>二</w:t>
      </w:r>
      <w:r>
        <w:rPr>
          <w:rFonts w:hint="eastAsia" w:ascii="楷体_GB2312" w:hAnsi="楷体_GB2312" w:eastAsia="楷体_GB2312" w:cs="楷体_GB2312"/>
          <w:b w:val="0"/>
          <w:bCs w:val="0"/>
          <w:color w:val="auto"/>
          <w:sz w:val="32"/>
          <w:szCs w:val="32"/>
          <w:highlight w:val="none"/>
          <w:u w:val="none"/>
          <w:lang w:val="zh-CN" w:eastAsia="zh-CN"/>
        </w:rPr>
        <w:t>）街巷物业统筹管理和项目监督的力度需要加强。</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街道出现街巷物业服务企业将外勤业务进行外包、分包的现象</w:t>
      </w:r>
      <w:r>
        <w:rPr>
          <w:rFonts w:hint="eastAsia" w:eastAsia="仿宋_GB2312" w:cs="仿宋_GB2312"/>
          <w:b w:val="0"/>
          <w:bCs w:val="0"/>
          <w:color w:val="auto"/>
          <w:sz w:val="32"/>
          <w:szCs w:val="32"/>
          <w:highlight w:val="none"/>
          <w:u w:val="none"/>
          <w:lang w:val="en-US" w:eastAsia="zh-CN"/>
        </w:rPr>
        <w:t>。个别</w:t>
      </w:r>
      <w:r>
        <w:rPr>
          <w:rFonts w:hint="eastAsia" w:ascii="宋体" w:hAnsi="宋体" w:eastAsia="仿宋_GB2312" w:cs="仿宋_GB2312"/>
          <w:b w:val="0"/>
          <w:bCs w:val="0"/>
          <w:color w:val="auto"/>
          <w:sz w:val="32"/>
          <w:szCs w:val="32"/>
          <w:highlight w:val="none"/>
          <w:u w:val="none"/>
          <w:lang w:val="en-US" w:eastAsia="zh-CN"/>
        </w:rPr>
        <w:t>项目预算申报不细化，缺乏服务面积、人员数量、单价等要素，未体现预算申报金额的测算依据。存在无法提供部分街巷物业过程资料</w:t>
      </w:r>
      <w:r>
        <w:rPr>
          <w:rFonts w:hint="eastAsia" w:eastAsia="仿宋_GB2312" w:cs="仿宋_GB2312"/>
          <w:b w:val="0"/>
          <w:bCs w:val="0"/>
          <w:color w:val="auto"/>
          <w:sz w:val="32"/>
          <w:szCs w:val="32"/>
          <w:highlight w:val="none"/>
          <w:u w:val="none"/>
          <w:lang w:val="en-US" w:eastAsia="zh-CN"/>
        </w:rPr>
        <w:t>现象，</w:t>
      </w:r>
      <w:r>
        <w:rPr>
          <w:rFonts w:hint="eastAsia" w:ascii="宋体" w:hAnsi="宋体" w:eastAsia="仿宋_GB2312" w:cs="仿宋_GB2312"/>
          <w:b w:val="0"/>
          <w:bCs w:val="0"/>
          <w:color w:val="auto"/>
          <w:sz w:val="32"/>
          <w:szCs w:val="32"/>
          <w:highlight w:val="none"/>
          <w:u w:val="none"/>
          <w:lang w:val="en-US" w:eastAsia="zh-CN"/>
        </w:rPr>
        <w:t>事中监管不到位。存在街巷物业服务企业部分事项服务人数不达标、实际服务面积和业务覆盖范围与合同约定有差异等问题。</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（三）区属校外教育机构管理需进一步规范，资金使用效益需要提升。</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校外教育机构扩大项目支出范围，列支与项目内容无关经费。</w:t>
      </w:r>
      <w:r>
        <w:rPr>
          <w:rFonts w:hint="eastAsia" w:eastAsia="仿宋_GB2312" w:cs="仿宋_GB2312"/>
          <w:b w:val="0"/>
          <w:bCs w:val="0"/>
          <w:color w:val="auto"/>
          <w:sz w:val="32"/>
          <w:szCs w:val="32"/>
          <w:highlight w:val="none"/>
          <w:u w:val="none"/>
          <w:lang w:val="en-US" w:eastAsia="zh-CN"/>
        </w:rPr>
        <w:t>部分</w:t>
      </w:r>
      <w:r>
        <w:rPr>
          <w:rFonts w:hint="eastAsia" w:ascii="宋体" w:hAnsi="宋体" w:eastAsia="仿宋_GB2312" w:cs="仿宋_GB2312"/>
          <w:b w:val="0"/>
          <w:bCs w:val="0"/>
          <w:color w:val="auto"/>
          <w:sz w:val="32"/>
          <w:szCs w:val="32"/>
          <w:highlight w:val="none"/>
          <w:u w:val="none"/>
          <w:lang w:val="en-US" w:eastAsia="zh-CN"/>
        </w:rPr>
        <w:t>委托</w:t>
      </w:r>
      <w:r>
        <w:rPr>
          <w:rFonts w:hint="eastAsia" w:eastAsia="仿宋_GB2312" w:cs="仿宋_GB2312"/>
          <w:b w:val="0"/>
          <w:bCs w:val="0"/>
          <w:color w:val="auto"/>
          <w:sz w:val="32"/>
          <w:szCs w:val="32"/>
          <w:highlight w:val="none"/>
          <w:u w:val="none"/>
          <w:lang w:val="en-US" w:eastAsia="zh-CN"/>
        </w:rPr>
        <w:t>业务</w:t>
      </w:r>
      <w:r>
        <w:rPr>
          <w:rFonts w:hint="eastAsia" w:ascii="宋体" w:hAnsi="宋体" w:eastAsia="仿宋_GB2312" w:cs="仿宋_GB2312"/>
          <w:b w:val="0"/>
          <w:bCs w:val="0"/>
          <w:color w:val="auto"/>
          <w:sz w:val="32"/>
          <w:szCs w:val="32"/>
          <w:highlight w:val="none"/>
          <w:u w:val="none"/>
          <w:lang w:val="en-US" w:eastAsia="zh-CN"/>
        </w:rPr>
        <w:t>如图书出版尚未开展</w:t>
      </w:r>
      <w:r>
        <w:rPr>
          <w:rFonts w:hint="eastAsia" w:eastAsia="仿宋_GB2312" w:cs="仿宋_GB2312"/>
          <w:b w:val="0"/>
          <w:bCs w:val="0"/>
          <w:color w:val="auto"/>
          <w:sz w:val="32"/>
          <w:szCs w:val="32"/>
          <w:highlight w:val="none"/>
          <w:u w:val="none"/>
          <w:lang w:val="en-US" w:eastAsia="zh-CN"/>
        </w:rPr>
        <w:t>、</w:t>
      </w:r>
      <w:r>
        <w:rPr>
          <w:rFonts w:hint="eastAsia" w:ascii="宋体" w:hAnsi="宋体" w:eastAsia="仿宋_GB2312" w:cs="仿宋_GB2312"/>
          <w:b w:val="0"/>
          <w:bCs w:val="0"/>
          <w:color w:val="auto"/>
          <w:sz w:val="32"/>
          <w:szCs w:val="32"/>
          <w:highlight w:val="none"/>
          <w:u w:val="none"/>
          <w:lang w:val="en-US" w:eastAsia="zh-CN"/>
        </w:rPr>
        <w:t>实际到岗提供服务人数与合同约定不符，未体现资金使用绩效。未经</w:t>
      </w:r>
      <w:r>
        <w:rPr>
          <w:rFonts w:hint="eastAsia" w:eastAsia="仿宋_GB2312" w:cs="仿宋_GB2312"/>
          <w:b w:val="0"/>
          <w:bCs w:val="0"/>
          <w:color w:val="auto"/>
          <w:sz w:val="32"/>
          <w:szCs w:val="32"/>
          <w:highlight w:val="none"/>
          <w:u w:val="none"/>
          <w:lang w:val="en-US" w:eastAsia="zh-CN"/>
        </w:rPr>
        <w:t>有关部门</w:t>
      </w:r>
      <w:r>
        <w:rPr>
          <w:rFonts w:hint="eastAsia" w:ascii="宋体" w:hAnsi="宋体" w:eastAsia="仿宋_GB2312" w:cs="仿宋_GB2312"/>
          <w:b w:val="0"/>
          <w:bCs w:val="0"/>
          <w:color w:val="auto"/>
          <w:sz w:val="32"/>
          <w:szCs w:val="32"/>
          <w:highlight w:val="none"/>
          <w:u w:val="none"/>
          <w:lang w:val="en-US" w:eastAsia="zh-CN"/>
        </w:rPr>
        <w:t>审核，自行开发“教育资源平台”“校务通”等系统。</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cs="仿宋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en-US" w:eastAsia="zh-CN"/>
        </w:rPr>
        <w:t>（四）</w:t>
      </w:r>
      <w:r>
        <w:rPr>
          <w:rFonts w:hint="eastAsia" w:ascii="楷体_GB2312" w:hAnsi="楷体_GB2312" w:eastAsia="楷体_GB2312" w:cs="楷体_GB2312"/>
          <w:b w:val="0"/>
          <w:bCs w:val="0"/>
          <w:color w:val="auto"/>
          <w:sz w:val="32"/>
          <w:szCs w:val="32"/>
          <w:highlight w:val="none"/>
          <w:u w:val="none"/>
          <w:lang w:val="zh-CN" w:eastAsia="zh-CN"/>
        </w:rPr>
        <w:t>区文化扶持资金管理机制还需完善。</w:t>
      </w:r>
      <w:r>
        <w:rPr>
          <w:rFonts w:hint="eastAsia" w:ascii="宋体" w:hAnsi="宋体" w:eastAsia="仿宋_GB2312" w:cs="仿宋_GB2312"/>
          <w:b w:val="0"/>
          <w:bCs w:val="0"/>
          <w:color w:val="auto"/>
          <w:sz w:val="32"/>
          <w:szCs w:val="32"/>
          <w:highlight w:val="none"/>
          <w:u w:val="none"/>
          <w:lang w:val="en-US" w:eastAsia="zh-CN"/>
        </w:rPr>
        <w:t>4个</w:t>
      </w:r>
      <w:r>
        <w:rPr>
          <w:rFonts w:hint="eastAsia" w:ascii="宋体" w:hAnsi="宋体" w:eastAsia="仿宋_GB2312" w:cs="仿宋_GB2312"/>
          <w:b w:val="0"/>
          <w:bCs w:val="0"/>
          <w:color w:val="auto"/>
          <w:sz w:val="32"/>
          <w:szCs w:val="32"/>
          <w:highlight w:val="none"/>
          <w:u w:val="none"/>
          <w:lang w:val="zh-CN" w:eastAsia="zh-CN"/>
        </w:rPr>
        <w:t>实体书店、阅读空间扶持项目审核不严格，存在对不符合条件的主体发放扶持资金、超限额发放扶持资金等问题</w:t>
      </w:r>
      <w:r>
        <w:rPr>
          <w:rFonts w:hint="eastAsia" w:eastAsia="仿宋_GB2312" w:cs="仿宋_GB2312"/>
          <w:b w:val="0"/>
          <w:bCs w:val="0"/>
          <w:color w:val="auto"/>
          <w:sz w:val="32"/>
          <w:szCs w:val="32"/>
          <w:highlight w:val="none"/>
          <w:u w:val="none"/>
          <w:lang w:val="zh-CN" w:eastAsia="zh-CN"/>
        </w:rPr>
        <w:t>；</w:t>
      </w:r>
      <w:r>
        <w:rPr>
          <w:rFonts w:hint="eastAsia" w:ascii="宋体" w:hAnsi="宋体" w:eastAsia="仿宋_GB2312" w:cs="仿宋_GB2312"/>
          <w:b w:val="0"/>
          <w:bCs w:val="0"/>
          <w:color w:val="auto"/>
          <w:sz w:val="32"/>
          <w:szCs w:val="32"/>
          <w:highlight w:val="none"/>
          <w:u w:val="none"/>
          <w:lang w:val="en-US" w:eastAsia="zh-CN"/>
        </w:rPr>
        <w:t>2个</w:t>
      </w:r>
      <w:r>
        <w:rPr>
          <w:rFonts w:hint="eastAsia" w:ascii="宋体" w:hAnsi="宋体" w:eastAsia="仿宋_GB2312" w:cs="仿宋_GB2312"/>
          <w:b w:val="0"/>
          <w:bCs w:val="0"/>
          <w:color w:val="auto"/>
          <w:sz w:val="32"/>
          <w:szCs w:val="32"/>
          <w:highlight w:val="none"/>
          <w:u w:val="none"/>
          <w:lang w:val="zh-CN" w:eastAsia="zh-CN"/>
        </w:rPr>
        <w:t>文艺创作申报项目</w:t>
      </w:r>
      <w:r>
        <w:rPr>
          <w:rFonts w:hint="eastAsia" w:eastAsia="仿宋_GB2312" w:cs="仿宋_GB2312"/>
          <w:b w:val="0"/>
          <w:bCs w:val="0"/>
          <w:color w:val="auto"/>
          <w:sz w:val="32"/>
          <w:szCs w:val="32"/>
          <w:highlight w:val="none"/>
          <w:u w:val="none"/>
          <w:lang w:val="zh-CN" w:eastAsia="zh-CN"/>
        </w:rPr>
        <w:t>在</w:t>
      </w:r>
      <w:r>
        <w:rPr>
          <w:rFonts w:hint="eastAsia" w:ascii="宋体" w:hAnsi="宋体" w:eastAsia="仿宋_GB2312" w:cs="仿宋_GB2312"/>
          <w:b w:val="0"/>
          <w:bCs w:val="0"/>
          <w:color w:val="auto"/>
          <w:sz w:val="32"/>
          <w:szCs w:val="32"/>
          <w:highlight w:val="none"/>
          <w:u w:val="none"/>
          <w:lang w:val="zh-CN" w:eastAsia="zh-CN"/>
        </w:rPr>
        <w:t>未提供完全版权声明的情况下获得补贴</w:t>
      </w:r>
      <w:r>
        <w:rPr>
          <w:rFonts w:hint="eastAsia" w:eastAsia="仿宋_GB2312" w:cs="仿宋_GB2312"/>
          <w:b w:val="0"/>
          <w:bCs w:val="0"/>
          <w:color w:val="auto"/>
          <w:sz w:val="32"/>
          <w:szCs w:val="32"/>
          <w:highlight w:val="none"/>
          <w:u w:val="none"/>
          <w:lang w:val="zh-CN" w:eastAsia="zh-CN"/>
        </w:rPr>
        <w:t>；</w:t>
      </w:r>
      <w:r>
        <w:rPr>
          <w:rFonts w:hint="eastAsia" w:ascii="宋体" w:hAnsi="宋体" w:eastAsia="仿宋_GB2312" w:cs="仿宋_GB2312"/>
          <w:b w:val="0"/>
          <w:bCs w:val="0"/>
          <w:color w:val="auto"/>
          <w:sz w:val="32"/>
          <w:szCs w:val="32"/>
          <w:highlight w:val="none"/>
          <w:u w:val="none"/>
          <w:lang w:val="en-US" w:eastAsia="zh-CN"/>
        </w:rPr>
        <w:t>1</w:t>
      </w:r>
      <w:r>
        <w:rPr>
          <w:rFonts w:hint="eastAsia" w:ascii="宋体" w:hAnsi="宋体" w:eastAsia="仿宋_GB2312" w:cs="仿宋_GB2312"/>
          <w:b w:val="0"/>
          <w:bCs w:val="0"/>
          <w:color w:val="auto"/>
          <w:sz w:val="32"/>
          <w:szCs w:val="32"/>
          <w:highlight w:val="none"/>
          <w:u w:val="none"/>
          <w:lang w:val="zh-CN" w:eastAsia="zh-CN"/>
        </w:rPr>
        <w:t>个文艺创作项目申报单位</w:t>
      </w:r>
      <w:r>
        <w:rPr>
          <w:rFonts w:hint="eastAsia" w:eastAsia="仿宋_GB2312" w:cs="仿宋_GB2312"/>
          <w:b w:val="0"/>
          <w:bCs w:val="0"/>
          <w:color w:val="auto"/>
          <w:sz w:val="32"/>
          <w:szCs w:val="32"/>
          <w:highlight w:val="none"/>
          <w:u w:val="none"/>
          <w:lang w:val="zh-CN" w:eastAsia="zh-CN"/>
        </w:rPr>
        <w:t>在</w:t>
      </w:r>
      <w:r>
        <w:rPr>
          <w:rFonts w:hint="eastAsia" w:ascii="宋体" w:hAnsi="宋体" w:eastAsia="仿宋_GB2312" w:cs="仿宋_GB2312"/>
          <w:b w:val="0"/>
          <w:bCs w:val="0"/>
          <w:color w:val="auto"/>
          <w:sz w:val="32"/>
          <w:szCs w:val="32"/>
          <w:highlight w:val="none"/>
          <w:u w:val="none"/>
          <w:lang w:val="zh-CN" w:eastAsia="zh-CN"/>
        </w:rPr>
        <w:t>未履行相应变更程序情况下获得补贴</w:t>
      </w:r>
      <w:r>
        <w:rPr>
          <w:rFonts w:hint="eastAsia" w:eastAsia="仿宋_GB2312" w:cs="仿宋_GB2312"/>
          <w:b w:val="0"/>
          <w:bCs w:val="0"/>
          <w:color w:val="auto"/>
          <w:sz w:val="32"/>
          <w:szCs w:val="32"/>
          <w:highlight w:val="none"/>
          <w:u w:val="none"/>
          <w:lang w:val="zh-CN" w:eastAsia="zh-CN"/>
        </w:rPr>
        <w:t>；</w:t>
      </w:r>
      <w:r>
        <w:rPr>
          <w:rFonts w:hint="eastAsia" w:eastAsia="仿宋_GB2312" w:cs="仿宋_GB2312"/>
          <w:b w:val="0"/>
          <w:bCs w:val="0"/>
          <w:color w:val="auto"/>
          <w:sz w:val="32"/>
          <w:szCs w:val="32"/>
          <w:highlight w:val="none"/>
          <w:u w:val="none"/>
          <w:lang w:val="en-US" w:eastAsia="zh-CN"/>
        </w:rPr>
        <w:t>专项资金</w:t>
      </w:r>
      <w:r>
        <w:rPr>
          <w:rFonts w:hint="eastAsia" w:ascii="宋体" w:hAnsi="宋体" w:eastAsia="仿宋_GB2312" w:cs="仿宋_GB2312"/>
          <w:b w:val="0"/>
          <w:bCs w:val="0"/>
          <w:color w:val="auto"/>
          <w:sz w:val="32"/>
          <w:szCs w:val="32"/>
          <w:highlight w:val="none"/>
          <w:u w:val="none"/>
          <w:lang w:val="zh-CN" w:eastAsia="zh-CN"/>
        </w:rPr>
        <w:t>管理办法和相关实施细则、实施方案的部分规定不一致</w:t>
      </w:r>
      <w:r>
        <w:rPr>
          <w:rFonts w:hint="eastAsia" w:eastAsia="仿宋_GB2312" w:cs="仿宋_GB2312"/>
          <w:b w:val="0"/>
          <w:bCs w:val="0"/>
          <w:color w:val="auto"/>
          <w:sz w:val="32"/>
          <w:szCs w:val="32"/>
          <w:highlight w:val="none"/>
          <w:u w:val="none"/>
          <w:lang w:val="zh-CN"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en-US" w:eastAsia="zh-CN"/>
        </w:rPr>
        <w:t>（五）</w:t>
      </w:r>
      <w:r>
        <w:rPr>
          <w:rFonts w:hint="eastAsia" w:ascii="楷体_GB2312" w:hAnsi="楷体_GB2312" w:eastAsia="楷体_GB2312" w:cs="楷体_GB2312"/>
          <w:b w:val="0"/>
          <w:bCs w:val="0"/>
          <w:color w:val="auto"/>
          <w:sz w:val="32"/>
          <w:szCs w:val="32"/>
          <w:highlight w:val="none"/>
          <w:u w:val="none"/>
          <w:lang w:val="zh-CN" w:eastAsia="zh-CN"/>
        </w:rPr>
        <w:t>法律援助资金投入及管理使用部分环节不到位。</w:t>
      </w:r>
      <w:r>
        <w:rPr>
          <w:rFonts w:hint="eastAsia" w:ascii="宋体" w:hAnsi="宋体" w:eastAsia="仿宋_GB2312" w:cs="仿宋_GB2312"/>
          <w:b w:val="0"/>
          <w:bCs w:val="0"/>
          <w:color w:val="auto"/>
          <w:sz w:val="32"/>
          <w:szCs w:val="32"/>
          <w:highlight w:val="none"/>
          <w:u w:val="none"/>
          <w:lang w:val="zh-CN" w:eastAsia="zh-CN"/>
        </w:rPr>
        <w:t>相关管理制度严肃性不足，管理精细化水平仍需提高</w:t>
      </w:r>
      <w:r>
        <w:rPr>
          <w:rFonts w:hint="eastAsia" w:eastAsia="仿宋_GB2312" w:cs="仿宋_GB2312"/>
          <w:b w:val="0"/>
          <w:bCs w:val="0"/>
          <w:color w:val="auto"/>
          <w:sz w:val="32"/>
          <w:szCs w:val="32"/>
          <w:highlight w:val="none"/>
          <w:u w:val="none"/>
          <w:lang w:val="zh-CN" w:eastAsia="zh-CN"/>
        </w:rPr>
        <w:t>；</w:t>
      </w:r>
      <w:r>
        <w:rPr>
          <w:rFonts w:hint="eastAsia" w:ascii="宋体" w:hAnsi="宋体" w:eastAsia="仿宋_GB2312" w:cs="仿宋_GB2312"/>
          <w:b w:val="0"/>
          <w:bCs w:val="0"/>
          <w:color w:val="auto"/>
          <w:sz w:val="32"/>
          <w:szCs w:val="32"/>
          <w:highlight w:val="none"/>
          <w:u w:val="none"/>
          <w:lang w:val="zh-CN" w:eastAsia="zh-CN"/>
        </w:rPr>
        <w:t>法律援助相关经费</w:t>
      </w:r>
      <w:r>
        <w:rPr>
          <w:rFonts w:hint="eastAsia" w:eastAsia="仿宋_GB2312" w:cs="仿宋_GB2312"/>
          <w:b w:val="0"/>
          <w:bCs w:val="0"/>
          <w:color w:val="auto"/>
          <w:sz w:val="32"/>
          <w:szCs w:val="32"/>
          <w:highlight w:val="none"/>
          <w:u w:val="none"/>
          <w:lang w:val="zh-CN" w:eastAsia="zh-CN"/>
        </w:rPr>
        <w:t>支出</w:t>
      </w:r>
      <w:r>
        <w:rPr>
          <w:rFonts w:hint="eastAsia" w:ascii="宋体" w:hAnsi="宋体" w:eastAsia="仿宋_GB2312" w:cs="仿宋_GB2312"/>
          <w:b w:val="0"/>
          <w:bCs w:val="0"/>
          <w:color w:val="auto"/>
          <w:sz w:val="32"/>
          <w:szCs w:val="32"/>
          <w:highlight w:val="none"/>
          <w:u w:val="none"/>
          <w:lang w:val="zh-CN" w:eastAsia="zh-CN"/>
        </w:rPr>
        <w:t>超范围，在法律援助补助中列支培训费、讲课费，在法律援助资金中列支志愿者餐费和交通补贴等。</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zh-CN"/>
        </w:rPr>
        <w:t>五、固定资产投资审计情况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eastAsia="仿宋_GB2312" w:cs="仿宋_GB2312"/>
          <w:b w:val="0"/>
          <w:bCs w:val="0"/>
          <w:color w:val="auto"/>
          <w:sz w:val="32"/>
          <w:szCs w:val="32"/>
          <w:highlight w:val="none"/>
          <w:u w:val="none"/>
          <w:lang w:val="en-US" w:eastAsia="zh-CN"/>
        </w:rPr>
        <w:t>审计</w:t>
      </w:r>
      <w:r>
        <w:rPr>
          <w:rFonts w:hint="eastAsia" w:ascii="宋体" w:hAnsi="宋体" w:eastAsia="仿宋_GB2312" w:cs="仿宋_GB2312"/>
          <w:b w:val="0"/>
          <w:bCs w:val="0"/>
          <w:color w:val="auto"/>
          <w:sz w:val="32"/>
          <w:szCs w:val="32"/>
          <w:highlight w:val="none"/>
          <w:u w:val="none"/>
          <w:lang w:val="en-US" w:eastAsia="zh-CN"/>
        </w:rPr>
        <w:t>发现的主要问题：</w:t>
      </w:r>
      <w:r>
        <w:rPr>
          <w:rFonts w:hint="eastAsia" w:ascii="仿宋_GB2312" w:hAnsi="仿宋_GB2312" w:eastAsia="仿宋_GB2312" w:cs="仿宋_GB2312"/>
          <w:b w:val="0"/>
          <w:bCs w:val="0"/>
          <w:color w:val="auto"/>
          <w:sz w:val="32"/>
          <w:szCs w:val="32"/>
          <w:highlight w:val="none"/>
          <w:u w:val="none"/>
          <w:lang w:val="en-US" w:eastAsia="zh-CN"/>
        </w:rPr>
        <w:t>一是部分项目投资控制不严。存在多计工程量、综合单价计价不合理等问题；个别工程超概算批复金额，未履行相关审批手续。二是部分项目建设管理不规范。个别项目存在补办招投标手续、内部邀请方式替代公开招标、合同签订早于中标通知书时间等问题；个别项目竣工验收</w:t>
      </w:r>
      <w:r>
        <w:rPr>
          <w:rFonts w:hint="eastAsia" w:ascii="仿宋_GB2312" w:hAnsi="仿宋_GB2312" w:eastAsia="仿宋_GB2312" w:cs="仿宋_GB2312"/>
          <w:b w:val="0"/>
          <w:bCs w:val="0"/>
          <w:dstrike w:val="0"/>
          <w:color w:val="auto"/>
          <w:sz w:val="32"/>
          <w:szCs w:val="32"/>
          <w:highlight w:val="none"/>
          <w:u w:val="none"/>
          <w:lang w:val="en-US" w:eastAsia="zh-CN"/>
        </w:rPr>
        <w:t>后</w:t>
      </w:r>
      <w:r>
        <w:rPr>
          <w:rFonts w:hint="eastAsia" w:ascii="仿宋_GB2312" w:hAnsi="仿宋_GB2312" w:eastAsia="仿宋_GB2312" w:cs="仿宋_GB2312"/>
          <w:b w:val="0"/>
          <w:bCs w:val="0"/>
          <w:color w:val="auto"/>
          <w:sz w:val="32"/>
          <w:szCs w:val="32"/>
          <w:highlight w:val="none"/>
          <w:u w:val="none"/>
          <w:lang w:val="en-US" w:eastAsia="zh-CN"/>
        </w:rPr>
        <w:t>，仍未报出施工总承包工程结算，且存在资产性质及归属不清晰、项目运营主体和方式未确定等问题，影响投资的有效性。</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zh-CN"/>
        </w:rPr>
      </w:pPr>
      <w:r>
        <w:rPr>
          <w:rFonts w:hint="eastAsia" w:ascii="宋体" w:hAnsi="宋体" w:eastAsia="黑体" w:cs="黑体"/>
          <w:b w:val="0"/>
          <w:bCs w:val="0"/>
          <w:color w:val="auto"/>
          <w:sz w:val="32"/>
          <w:szCs w:val="32"/>
          <w:highlight w:val="none"/>
          <w:u w:val="none"/>
          <w:lang w:val="zh-CN"/>
        </w:rPr>
        <w:t>国有企业审计情况</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zh-CN"/>
        </w:rPr>
      </w:pPr>
      <w:r>
        <w:rPr>
          <w:rFonts w:hint="eastAsia" w:ascii="宋体" w:hAnsi="宋体" w:eastAsia="仿宋_GB2312" w:cs="仿宋_GB2312"/>
          <w:b w:val="0"/>
          <w:bCs w:val="0"/>
          <w:color w:val="auto"/>
          <w:sz w:val="32"/>
          <w:szCs w:val="32"/>
          <w:highlight w:val="none"/>
          <w:u w:val="none"/>
          <w:lang w:val="zh-CN"/>
        </w:rPr>
        <w:t>对</w:t>
      </w:r>
      <w:r>
        <w:rPr>
          <w:rFonts w:hint="eastAsia" w:eastAsia="仿宋_GB2312" w:cs="仿宋_GB2312"/>
          <w:b w:val="0"/>
          <w:bCs w:val="0"/>
          <w:color w:val="auto"/>
          <w:sz w:val="32"/>
          <w:szCs w:val="32"/>
          <w:highlight w:val="none"/>
          <w:u w:val="none"/>
          <w:lang w:val="zh-CN"/>
        </w:rPr>
        <w:t>区属国有企业</w:t>
      </w:r>
      <w:r>
        <w:rPr>
          <w:rFonts w:hint="eastAsia" w:ascii="宋体" w:hAnsi="宋体" w:eastAsia="仿宋_GB2312" w:cs="仿宋_GB2312"/>
          <w:b w:val="0"/>
          <w:bCs w:val="0"/>
          <w:color w:val="auto"/>
          <w:sz w:val="32"/>
          <w:szCs w:val="32"/>
          <w:highlight w:val="none"/>
          <w:u w:val="none"/>
          <w:lang w:val="zh-CN"/>
        </w:rPr>
        <w:t>审计</w:t>
      </w:r>
      <w:r>
        <w:rPr>
          <w:rFonts w:hint="eastAsia" w:eastAsia="仿宋_GB2312" w:cs="仿宋_GB2312"/>
          <w:b w:val="0"/>
          <w:bCs w:val="0"/>
          <w:color w:val="auto"/>
          <w:sz w:val="32"/>
          <w:szCs w:val="32"/>
          <w:highlight w:val="none"/>
          <w:u w:val="none"/>
          <w:lang w:val="zh-CN"/>
        </w:rPr>
        <w:t>发现的主要问题</w:t>
      </w:r>
      <w:r>
        <w:rPr>
          <w:rFonts w:hint="eastAsia" w:ascii="宋体" w:hAnsi="宋体" w:eastAsia="仿宋_GB2312" w:cs="仿宋_GB2312"/>
          <w:b w:val="0"/>
          <w:bCs w:val="0"/>
          <w:color w:val="auto"/>
          <w:sz w:val="32"/>
          <w:szCs w:val="32"/>
          <w:highlight w:val="none"/>
          <w:u w:val="none"/>
          <w:lang w:val="zh-CN"/>
        </w:rPr>
        <w:t>：</w:t>
      </w:r>
      <w:r>
        <w:rPr>
          <w:rFonts w:hint="eastAsia" w:ascii="仿宋_GB2312" w:hAnsi="仿宋_GB2312" w:eastAsia="仿宋_GB2312" w:cs="仿宋_GB2312"/>
          <w:b w:val="0"/>
          <w:bCs w:val="0"/>
          <w:color w:val="auto"/>
          <w:sz w:val="32"/>
          <w:szCs w:val="32"/>
          <w:highlight w:val="none"/>
          <w:u w:val="none"/>
          <w:lang w:val="en-US"/>
        </w:rPr>
        <w:t>一是</w:t>
      </w:r>
      <w:r>
        <w:rPr>
          <w:rFonts w:hint="eastAsia" w:ascii="仿宋_GB2312" w:hAnsi="仿宋_GB2312" w:eastAsia="仿宋_GB2312" w:cs="仿宋_GB2312"/>
          <w:b w:val="0"/>
          <w:bCs w:val="0"/>
          <w:color w:val="auto"/>
          <w:sz w:val="32"/>
          <w:szCs w:val="32"/>
          <w:highlight w:val="none"/>
          <w:u w:val="none"/>
          <w:lang w:val="zh-CN"/>
        </w:rPr>
        <w:t>以出借资金形式为下属公司投资项目，存在资金损失风险。</w:t>
      </w:r>
      <w:r>
        <w:rPr>
          <w:rFonts w:hint="eastAsia" w:ascii="仿宋_GB2312" w:hAnsi="仿宋_GB2312" w:eastAsia="仿宋_GB2312" w:cs="仿宋_GB2312"/>
          <w:b w:val="0"/>
          <w:bCs w:val="0"/>
          <w:color w:val="auto"/>
          <w:sz w:val="32"/>
          <w:szCs w:val="32"/>
          <w:highlight w:val="none"/>
          <w:u w:val="none"/>
          <w:lang w:val="en-US"/>
        </w:rPr>
        <w:t>二是</w:t>
      </w:r>
      <w:r>
        <w:rPr>
          <w:rFonts w:hint="eastAsia" w:ascii="仿宋_GB2312" w:hAnsi="仿宋_GB2312" w:eastAsia="仿宋_GB2312" w:cs="仿宋_GB2312"/>
          <w:b w:val="0"/>
          <w:bCs w:val="0"/>
          <w:color w:val="auto"/>
          <w:sz w:val="32"/>
          <w:szCs w:val="32"/>
          <w:highlight w:val="none"/>
          <w:u w:val="none"/>
          <w:lang w:val="en-US" w:eastAsia="zh-CN"/>
        </w:rPr>
        <w:t>房地产</w:t>
      </w:r>
      <w:r>
        <w:rPr>
          <w:rFonts w:hint="eastAsia" w:ascii="仿宋_GB2312" w:hAnsi="仿宋_GB2312" w:eastAsia="仿宋_GB2312" w:cs="仿宋_GB2312"/>
          <w:b w:val="0"/>
          <w:bCs w:val="0"/>
          <w:color w:val="auto"/>
          <w:sz w:val="32"/>
          <w:szCs w:val="32"/>
          <w:highlight w:val="none"/>
          <w:u w:val="none"/>
          <w:lang w:val="zh-CN" w:eastAsia="zh-CN"/>
        </w:rPr>
        <w:t>投资去化难度大</w:t>
      </w:r>
      <w:r>
        <w:rPr>
          <w:rFonts w:hint="eastAsia" w:ascii="仿宋_GB2312" w:hAnsi="仿宋_GB2312" w:eastAsia="仿宋_GB2312" w:cs="仿宋_GB2312"/>
          <w:b w:val="0"/>
          <w:bCs w:val="0"/>
          <w:color w:val="auto"/>
          <w:sz w:val="32"/>
          <w:szCs w:val="32"/>
          <w:highlight w:val="none"/>
          <w:u w:val="none"/>
          <w:lang w:val="zh-CN"/>
        </w:rPr>
        <w:t>，部分项目已出现重大减值情形。</w:t>
      </w:r>
      <w:r>
        <w:rPr>
          <w:rFonts w:hint="eastAsia" w:ascii="仿宋_GB2312" w:hAnsi="仿宋_GB2312" w:eastAsia="仿宋_GB2312" w:cs="仿宋_GB2312"/>
          <w:b w:val="0"/>
          <w:bCs w:val="0"/>
          <w:color w:val="auto"/>
          <w:sz w:val="32"/>
          <w:szCs w:val="32"/>
          <w:highlight w:val="none"/>
          <w:u w:val="none"/>
          <w:lang w:val="en-US"/>
        </w:rPr>
        <w:t>三是内控</w:t>
      </w:r>
      <w:r>
        <w:rPr>
          <w:rFonts w:hint="eastAsia" w:ascii="仿宋_GB2312" w:hAnsi="仿宋_GB2312" w:eastAsia="仿宋_GB2312" w:cs="仿宋_GB2312"/>
          <w:b w:val="0"/>
          <w:bCs w:val="0"/>
          <w:color w:val="auto"/>
          <w:sz w:val="32"/>
          <w:szCs w:val="32"/>
          <w:highlight w:val="none"/>
          <w:u w:val="none"/>
          <w:lang w:val="zh-CN"/>
        </w:rPr>
        <w:t>制度体系建设和执行不到位。</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en-US"/>
        </w:rPr>
      </w:pPr>
      <w:r>
        <w:rPr>
          <w:rFonts w:hint="eastAsia" w:ascii="宋体" w:hAnsi="宋体" w:eastAsia="黑体" w:cs="黑体"/>
          <w:b w:val="0"/>
          <w:bCs w:val="0"/>
          <w:color w:val="auto"/>
          <w:sz w:val="32"/>
          <w:szCs w:val="32"/>
          <w:highlight w:val="none"/>
          <w:u w:val="none"/>
          <w:lang w:val="zh-CN"/>
        </w:rPr>
        <w:t>七、审计发</w:t>
      </w:r>
      <w:r>
        <w:rPr>
          <w:rFonts w:hint="eastAsia" w:ascii="宋体" w:hAnsi="宋体" w:eastAsia="黑体" w:cs="黑体"/>
          <w:b w:val="0"/>
          <w:bCs w:val="0"/>
          <w:color w:val="auto"/>
          <w:sz w:val="32"/>
          <w:szCs w:val="32"/>
          <w:highlight w:val="none"/>
          <w:u w:val="none"/>
          <w:lang w:val="en-US"/>
        </w:rPr>
        <w:t>现问题原因分析及初步整改情况</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dstrike/>
          <w:color w:val="auto"/>
          <w:sz w:val="32"/>
          <w:szCs w:val="32"/>
          <w:highlight w:val="none"/>
          <w:u w:val="none"/>
          <w:lang w:val="en-US" w:eastAsia="zh-CN"/>
        </w:rPr>
      </w:pPr>
      <w:r>
        <w:rPr>
          <w:rFonts w:hint="eastAsia" w:ascii="宋体" w:hAnsi="宋体" w:eastAsia="仿宋_GB2312" w:cs="仿宋_GB2312"/>
          <w:b w:val="0"/>
          <w:bCs w:val="0"/>
          <w:color w:val="auto"/>
          <w:sz w:val="32"/>
          <w:szCs w:val="32"/>
          <w:highlight w:val="none"/>
          <w:u w:val="none"/>
          <w:lang w:val="en-US"/>
        </w:rPr>
        <w:t>从审计情况看，上述问题产生的主要原因</w:t>
      </w:r>
      <w:r>
        <w:rPr>
          <w:rFonts w:hint="eastAsia" w:ascii="宋体" w:hAnsi="宋体" w:eastAsia="仿宋_GB2312" w:cs="仿宋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lang w:val="en-US" w:eastAsia="zh-CN"/>
        </w:rPr>
        <w:t>一</w:t>
      </w:r>
      <w:r>
        <w:rPr>
          <w:rFonts w:hint="eastAsia" w:ascii="宋体" w:hAnsi="宋体" w:eastAsia="仿宋_GB2312" w:cs="仿宋_GB2312"/>
          <w:b w:val="0"/>
          <w:bCs w:val="0"/>
          <w:color w:val="auto"/>
          <w:sz w:val="32"/>
          <w:szCs w:val="32"/>
          <w:highlight w:val="none"/>
          <w:u w:val="none"/>
          <w:lang w:val="en-US" w:eastAsia="zh-CN"/>
        </w:rPr>
        <w:t>是制度约束意识不够强。随着预算管理体制改革不断深化，</w:t>
      </w:r>
      <w:r>
        <w:rPr>
          <w:rFonts w:hint="eastAsia" w:eastAsia="仿宋_GB2312" w:cs="仿宋_GB2312"/>
          <w:b w:val="0"/>
          <w:bCs w:val="0"/>
          <w:color w:val="auto"/>
          <w:sz w:val="32"/>
          <w:szCs w:val="32"/>
          <w:highlight w:val="none"/>
          <w:u w:val="none"/>
          <w:lang w:val="en-US" w:eastAsia="zh-CN"/>
        </w:rPr>
        <w:t>预算约束和成本约束机制的执行力度欠缺，</w:t>
      </w:r>
      <w:r>
        <w:rPr>
          <w:rFonts w:hint="eastAsia" w:ascii="宋体" w:hAnsi="宋体" w:eastAsia="仿宋_GB2312" w:cs="仿宋_GB2312"/>
          <w:b w:val="0"/>
          <w:bCs w:val="0"/>
          <w:color w:val="auto"/>
          <w:sz w:val="32"/>
          <w:szCs w:val="32"/>
          <w:highlight w:val="none"/>
          <w:u w:val="none"/>
          <w:lang w:val="en-US" w:eastAsia="zh-CN"/>
        </w:rPr>
        <w:t>有些主管部门</w:t>
      </w:r>
      <w:r>
        <w:rPr>
          <w:rFonts w:hint="eastAsia" w:eastAsia="仿宋_GB2312" w:cs="仿宋_GB2312"/>
          <w:b w:val="0"/>
          <w:bCs w:val="0"/>
          <w:color w:val="auto"/>
          <w:sz w:val="32"/>
          <w:szCs w:val="32"/>
          <w:highlight w:val="none"/>
          <w:u w:val="none"/>
          <w:lang w:val="en-US" w:eastAsia="zh-CN"/>
        </w:rPr>
        <w:t>监督管理</w:t>
      </w:r>
      <w:r>
        <w:rPr>
          <w:rFonts w:hint="eastAsia" w:ascii="宋体" w:hAnsi="宋体" w:eastAsia="仿宋_GB2312" w:cs="仿宋_GB2312"/>
          <w:b w:val="0"/>
          <w:bCs w:val="0"/>
          <w:color w:val="auto"/>
          <w:sz w:val="32"/>
          <w:szCs w:val="32"/>
          <w:highlight w:val="none"/>
          <w:u w:val="none"/>
          <w:lang w:val="en-US" w:eastAsia="zh-CN"/>
        </w:rPr>
        <w:t>责任未有效落实</w:t>
      </w:r>
      <w:r>
        <w:rPr>
          <w:rFonts w:hint="eastAsia" w:eastAsia="仿宋_GB2312" w:cs="仿宋_GB2312"/>
          <w:b w:val="0"/>
          <w:bCs w:val="0"/>
          <w:color w:val="auto"/>
          <w:sz w:val="32"/>
          <w:szCs w:val="32"/>
          <w:highlight w:val="none"/>
          <w:u w:val="none"/>
          <w:lang w:val="en-US" w:eastAsia="zh-CN"/>
        </w:rPr>
        <w:t>，政策精准化程度不够。有的单位</w:t>
      </w:r>
      <w:r>
        <w:rPr>
          <w:rFonts w:hint="eastAsia" w:ascii="宋体" w:hAnsi="宋体" w:eastAsia="仿宋_GB2312" w:cs="仿宋_GB2312"/>
          <w:b w:val="0"/>
          <w:bCs w:val="0"/>
          <w:color w:val="auto"/>
          <w:sz w:val="32"/>
          <w:szCs w:val="32"/>
          <w:highlight w:val="none"/>
          <w:u w:val="none"/>
          <w:lang w:val="en-US" w:eastAsia="zh-CN"/>
        </w:rPr>
        <w:t>内部管理制度不完善</w:t>
      </w:r>
      <w:r>
        <w:rPr>
          <w:rFonts w:hint="eastAsia" w:eastAsia="仿宋_GB2312" w:cs="仿宋_GB2312"/>
          <w:b w:val="0"/>
          <w:bCs w:val="0"/>
          <w:color w:val="auto"/>
          <w:sz w:val="32"/>
          <w:szCs w:val="32"/>
          <w:highlight w:val="none"/>
          <w:u w:val="none"/>
          <w:lang w:val="en-US" w:eastAsia="zh-CN"/>
        </w:rPr>
        <w:t>，</w:t>
      </w:r>
      <w:r>
        <w:rPr>
          <w:rFonts w:hint="eastAsia" w:eastAsia="仿宋_GB2312" w:cs="仿宋_GB2312"/>
          <w:b w:val="0"/>
          <w:bCs w:val="0"/>
          <w:color w:val="auto"/>
          <w:sz w:val="32"/>
          <w:szCs w:val="32"/>
          <w:highlight w:val="none"/>
          <w:u w:val="none"/>
        </w:rPr>
        <w:t>未严格遵守财经纪律，廉政风险仍需要防范。</w:t>
      </w:r>
      <w:r>
        <w:rPr>
          <w:rFonts w:hint="eastAsia" w:eastAsia="仿宋_GB2312" w:cs="仿宋_GB2312"/>
          <w:b w:val="0"/>
          <w:bCs w:val="0"/>
          <w:color w:val="auto"/>
          <w:sz w:val="32"/>
          <w:szCs w:val="32"/>
          <w:highlight w:val="none"/>
          <w:u w:val="none"/>
          <w:lang w:val="en-US" w:eastAsia="zh-CN"/>
        </w:rPr>
        <w:t>二</w:t>
      </w:r>
      <w:r>
        <w:rPr>
          <w:rFonts w:hint="eastAsia" w:ascii="宋体" w:hAnsi="宋体" w:eastAsia="仿宋_GB2312" w:cs="仿宋_GB2312"/>
          <w:b w:val="0"/>
          <w:bCs w:val="0"/>
          <w:color w:val="auto"/>
          <w:sz w:val="32"/>
          <w:szCs w:val="32"/>
          <w:highlight w:val="none"/>
          <w:u w:val="none"/>
          <w:lang w:val="en-US" w:eastAsia="zh-CN"/>
        </w:rPr>
        <w:t>是“过紧日子”意识不够强。部分单位</w:t>
      </w:r>
      <w:r>
        <w:rPr>
          <w:rFonts w:hint="eastAsia" w:eastAsia="仿宋_GB2312" w:cs="仿宋_GB2312"/>
          <w:b w:val="0"/>
          <w:bCs w:val="0"/>
          <w:color w:val="auto"/>
          <w:sz w:val="32"/>
          <w:szCs w:val="32"/>
          <w:highlight w:val="none"/>
          <w:u w:val="none"/>
          <w:lang w:val="en-US" w:eastAsia="zh-CN"/>
        </w:rPr>
        <w:t>申报预算时，项目、资金论证不充分，随意性大，容易造成预算安排、财政资金分配不精准情况的发生。</w:t>
      </w:r>
      <w:r>
        <w:rPr>
          <w:rFonts w:hint="eastAsia" w:ascii="宋体" w:hAnsi="宋体" w:eastAsia="仿宋_GB2312" w:cs="仿宋_GB2312"/>
          <w:b w:val="0"/>
          <w:bCs w:val="0"/>
          <w:color w:val="auto"/>
          <w:sz w:val="32"/>
          <w:szCs w:val="32"/>
          <w:highlight w:val="none"/>
          <w:u w:val="none"/>
          <w:lang w:val="en-US" w:eastAsia="zh-CN"/>
        </w:rPr>
        <w:t>面对如何突出重点、精打细算、统筹安排、真正把有限的财政资金用在“刀刃上”等问题，缺乏有效谋划应对。</w:t>
      </w:r>
      <w:r>
        <w:rPr>
          <w:rFonts w:hint="eastAsia" w:eastAsia="仿宋_GB2312" w:cs="仿宋_GB2312"/>
          <w:b w:val="0"/>
          <w:bCs w:val="0"/>
          <w:color w:val="auto"/>
          <w:sz w:val="32"/>
          <w:szCs w:val="32"/>
          <w:highlight w:val="none"/>
          <w:u w:val="none"/>
          <w:lang w:val="en-US" w:eastAsia="zh-CN"/>
        </w:rPr>
        <w:t>三</w:t>
      </w:r>
      <w:r>
        <w:rPr>
          <w:rFonts w:hint="eastAsia" w:ascii="宋体" w:hAnsi="宋体" w:eastAsia="仿宋_GB2312" w:cs="仿宋_GB2312"/>
          <w:b w:val="0"/>
          <w:bCs w:val="0"/>
          <w:color w:val="auto"/>
          <w:sz w:val="32"/>
          <w:szCs w:val="32"/>
          <w:highlight w:val="none"/>
          <w:u w:val="none"/>
          <w:lang w:val="en-US" w:eastAsia="zh-CN"/>
        </w:rPr>
        <w:t>是预算绩效意识不够强。</w:t>
      </w:r>
      <w:r>
        <w:rPr>
          <w:rFonts w:hint="eastAsia" w:ascii="宋体" w:hAnsi="宋体" w:eastAsia="仿宋_GB2312" w:cs="仿宋_GB2312"/>
          <w:b w:val="0"/>
          <w:bCs w:val="0"/>
          <w:color w:val="auto"/>
          <w:highlight w:val="none"/>
          <w:u w:val="none"/>
          <w:lang w:val="zh-CN"/>
        </w:rPr>
        <w:t>部分单位</w:t>
      </w:r>
      <w:r>
        <w:rPr>
          <w:rFonts w:hint="eastAsia" w:eastAsia="仿宋_GB2312" w:cs="仿宋_GB2312"/>
          <w:b w:val="0"/>
          <w:bCs w:val="0"/>
          <w:color w:val="auto"/>
          <w:highlight w:val="none"/>
          <w:u w:val="none"/>
          <w:lang w:val="zh-CN"/>
        </w:rPr>
        <w:t>全过程成本绩效理念不深入，</w:t>
      </w:r>
      <w:r>
        <w:rPr>
          <w:rFonts w:hint="eastAsia" w:ascii="宋体" w:hAnsi="宋体" w:eastAsia="仿宋_GB2312" w:cs="仿宋_GB2312"/>
          <w:b w:val="0"/>
          <w:bCs w:val="0"/>
          <w:color w:val="auto"/>
          <w:highlight w:val="none"/>
          <w:u w:val="none"/>
          <w:lang w:val="zh-CN"/>
        </w:rPr>
        <w:t>实际执行</w:t>
      </w:r>
      <w:r>
        <w:rPr>
          <w:rFonts w:hint="eastAsia" w:eastAsia="仿宋_GB2312" w:cs="仿宋_GB2312"/>
          <w:b w:val="0"/>
          <w:bCs w:val="0"/>
          <w:color w:val="auto"/>
          <w:highlight w:val="none"/>
          <w:u w:val="none"/>
          <w:lang w:val="zh-CN"/>
        </w:rPr>
        <w:t>积极性</w:t>
      </w:r>
      <w:r>
        <w:rPr>
          <w:rFonts w:hint="eastAsia" w:ascii="宋体" w:hAnsi="宋体" w:eastAsia="仿宋_GB2312" w:cs="仿宋_GB2312"/>
          <w:b w:val="0"/>
          <w:bCs w:val="0"/>
          <w:color w:val="auto"/>
          <w:highlight w:val="none"/>
          <w:u w:val="none"/>
          <w:lang w:val="zh-CN"/>
        </w:rPr>
        <w:t>不强，</w:t>
      </w:r>
      <w:r>
        <w:rPr>
          <w:rFonts w:hint="eastAsia" w:eastAsia="仿宋_GB2312" w:cs="仿宋_GB2312"/>
          <w:b w:val="0"/>
          <w:bCs w:val="0"/>
          <w:color w:val="auto"/>
          <w:highlight w:val="none"/>
          <w:u w:val="none"/>
          <w:lang w:val="zh-CN"/>
        </w:rPr>
        <w:t>在绩效事前评估、结果评价、成本测算等环节有待提升。个别单位</w:t>
      </w:r>
      <w:r>
        <w:rPr>
          <w:rFonts w:hint="eastAsia" w:ascii="宋体" w:hAnsi="宋体" w:eastAsia="仿宋_GB2312" w:cs="仿宋_GB2312"/>
          <w:b w:val="0"/>
          <w:bCs w:val="0"/>
          <w:color w:val="auto"/>
          <w:highlight w:val="none"/>
          <w:u w:val="none"/>
          <w:lang w:val="zh-CN"/>
        </w:rPr>
        <w:t>管理模式</w:t>
      </w:r>
      <w:r>
        <w:rPr>
          <w:rFonts w:hint="eastAsia" w:eastAsia="仿宋_GB2312" w:cs="仿宋_GB2312"/>
          <w:b w:val="0"/>
          <w:bCs w:val="0"/>
          <w:color w:val="auto"/>
          <w:highlight w:val="none"/>
          <w:u w:val="none"/>
          <w:lang w:val="zh-CN"/>
        </w:rPr>
        <w:t>依然</w:t>
      </w:r>
      <w:r>
        <w:rPr>
          <w:rFonts w:hint="eastAsia" w:ascii="宋体" w:hAnsi="宋体" w:eastAsia="仿宋_GB2312" w:cs="仿宋_GB2312"/>
          <w:b w:val="0"/>
          <w:bCs w:val="0"/>
          <w:color w:val="auto"/>
          <w:highlight w:val="none"/>
          <w:u w:val="none"/>
          <w:lang w:val="zh-CN"/>
        </w:rPr>
        <w:t>较为粗放</w:t>
      </w:r>
      <w:r>
        <w:rPr>
          <w:rFonts w:hint="eastAsia" w:eastAsia="仿宋_GB2312" w:cs="仿宋_GB2312"/>
          <w:b w:val="0"/>
          <w:bCs w:val="0"/>
          <w:color w:val="auto"/>
          <w:highlight w:val="none"/>
          <w:u w:val="none"/>
          <w:lang w:val="zh-CN"/>
        </w:rPr>
        <w:t>，</w:t>
      </w:r>
      <w:r>
        <w:rPr>
          <w:rFonts w:hint="eastAsia" w:ascii="宋体" w:hAnsi="宋体" w:eastAsia="仿宋_GB2312" w:cs="仿宋_GB2312"/>
          <w:b w:val="0"/>
          <w:bCs w:val="0"/>
          <w:color w:val="auto"/>
          <w:highlight w:val="none"/>
          <w:u w:val="none"/>
          <w:lang w:val="zh-CN"/>
        </w:rPr>
        <w:t>支出不计成本等现象值得关注。</w:t>
      </w:r>
    </w:p>
    <w:p>
      <w:pPr>
        <w:pStyle w:val="11"/>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仿宋_GB2312"/>
          <w:b w:val="0"/>
          <w:bCs w:val="0"/>
          <w:color w:val="auto"/>
          <w:sz w:val="32"/>
          <w:szCs w:val="32"/>
          <w:highlight w:val="none"/>
          <w:u w:val="none"/>
          <w:lang w:val="en-US"/>
        </w:rPr>
      </w:pPr>
      <w:r>
        <w:rPr>
          <w:rFonts w:hint="eastAsia" w:ascii="宋体" w:hAnsi="宋体" w:eastAsia="仿宋_GB2312" w:cs="仿宋_GB2312"/>
          <w:b w:val="0"/>
          <w:bCs w:val="0"/>
          <w:dstrike w:val="0"/>
          <w:color w:val="auto"/>
          <w:sz w:val="32"/>
          <w:szCs w:val="32"/>
          <w:highlight w:val="none"/>
          <w:u w:val="none"/>
          <w:lang w:val="en-US" w:eastAsia="zh-CN"/>
        </w:rPr>
        <w:t>本报告涉及的</w:t>
      </w:r>
      <w:r>
        <w:rPr>
          <w:rFonts w:hint="eastAsia" w:ascii="宋体" w:hAnsi="宋体" w:eastAsia="仿宋_GB2312" w:cs="仿宋_GB2312"/>
          <w:b w:val="0"/>
          <w:bCs w:val="0"/>
          <w:color w:val="auto"/>
          <w:sz w:val="32"/>
          <w:szCs w:val="32"/>
          <w:highlight w:val="none"/>
          <w:u w:val="none"/>
          <w:lang w:val="en-US"/>
        </w:rPr>
        <w:t>审计项目，</w:t>
      </w:r>
      <w:r>
        <w:rPr>
          <w:rFonts w:hint="eastAsia" w:ascii="宋体" w:hAnsi="宋体" w:eastAsia="仿宋_GB2312" w:cs="仿宋_GB2312"/>
          <w:b w:val="0"/>
          <w:bCs w:val="0"/>
          <w:color w:val="auto"/>
          <w:sz w:val="32"/>
          <w:szCs w:val="32"/>
          <w:highlight w:val="none"/>
          <w:u w:val="none"/>
          <w:lang w:val="en-US" w:eastAsia="zh-CN"/>
        </w:rPr>
        <w:t>区审计局</w:t>
      </w:r>
      <w:r>
        <w:rPr>
          <w:rFonts w:hint="eastAsia" w:ascii="宋体" w:hAnsi="宋体" w:eastAsia="仿宋_GB2312" w:cs="仿宋_GB2312"/>
          <w:b w:val="0"/>
          <w:bCs w:val="0"/>
          <w:color w:val="auto"/>
          <w:sz w:val="32"/>
          <w:szCs w:val="32"/>
          <w:highlight w:val="none"/>
          <w:u w:val="none"/>
          <w:lang w:val="en-US"/>
        </w:rPr>
        <w:t>已</w:t>
      </w:r>
      <w:r>
        <w:rPr>
          <w:rFonts w:hint="eastAsia" w:ascii="宋体" w:hAnsi="宋体" w:eastAsia="仿宋_GB2312" w:cs="仿宋_GB2312"/>
          <w:b w:val="0"/>
          <w:bCs w:val="0"/>
          <w:color w:val="auto"/>
          <w:sz w:val="32"/>
          <w:szCs w:val="32"/>
          <w:highlight w:val="none"/>
          <w:u w:val="none"/>
          <w:lang w:val="en-US" w:eastAsia="zh-CN"/>
        </w:rPr>
        <w:t>分别</w:t>
      </w:r>
      <w:r>
        <w:rPr>
          <w:rFonts w:hint="eastAsia" w:ascii="宋体" w:hAnsi="宋体" w:eastAsia="仿宋_GB2312" w:cs="仿宋_GB2312"/>
          <w:b w:val="0"/>
          <w:bCs w:val="0"/>
          <w:color w:val="auto"/>
          <w:sz w:val="32"/>
          <w:szCs w:val="32"/>
          <w:highlight w:val="none"/>
          <w:u w:val="none"/>
          <w:lang w:val="en-US"/>
        </w:rPr>
        <w:t>依法出具审计报告和审计决定，要求相关部门单位</w:t>
      </w:r>
      <w:r>
        <w:rPr>
          <w:rFonts w:hint="eastAsia" w:ascii="宋体" w:hAnsi="宋体" w:eastAsia="仿宋_GB2312" w:cs="仿宋_GB2312"/>
          <w:b w:val="0"/>
          <w:bCs w:val="0"/>
          <w:dstrike w:val="0"/>
          <w:color w:val="auto"/>
          <w:sz w:val="32"/>
          <w:szCs w:val="32"/>
          <w:highlight w:val="none"/>
          <w:u w:val="none"/>
          <w:lang w:val="en-US"/>
        </w:rPr>
        <w:t>按期</w:t>
      </w:r>
      <w:r>
        <w:rPr>
          <w:rFonts w:hint="eastAsia" w:ascii="宋体" w:hAnsi="宋体" w:eastAsia="仿宋_GB2312" w:cs="仿宋_GB2312"/>
          <w:b w:val="0"/>
          <w:bCs w:val="0"/>
          <w:color w:val="auto"/>
          <w:sz w:val="32"/>
          <w:szCs w:val="32"/>
          <w:highlight w:val="none"/>
          <w:u w:val="none"/>
          <w:lang w:val="en-US"/>
        </w:rPr>
        <w:t>整改。被审计单位对审计</w:t>
      </w:r>
      <w:r>
        <w:rPr>
          <w:rFonts w:hint="eastAsia" w:ascii="宋体" w:hAnsi="宋体" w:eastAsia="仿宋_GB2312" w:cs="仿宋_GB2312"/>
          <w:b w:val="0"/>
          <w:bCs w:val="0"/>
          <w:color w:val="auto"/>
          <w:sz w:val="32"/>
          <w:szCs w:val="32"/>
          <w:highlight w:val="none"/>
          <w:u w:val="none"/>
          <w:lang w:val="en-US" w:eastAsia="zh-CN"/>
        </w:rPr>
        <w:t>发现</w:t>
      </w:r>
      <w:r>
        <w:rPr>
          <w:rFonts w:hint="eastAsia" w:ascii="宋体" w:hAnsi="宋体" w:eastAsia="仿宋_GB2312" w:cs="仿宋_GB2312"/>
          <w:b w:val="0"/>
          <w:bCs w:val="0"/>
          <w:color w:val="auto"/>
          <w:sz w:val="32"/>
          <w:szCs w:val="32"/>
          <w:highlight w:val="none"/>
          <w:u w:val="none"/>
          <w:lang w:val="en-US"/>
        </w:rPr>
        <w:t>问题</w:t>
      </w:r>
      <w:r>
        <w:rPr>
          <w:rFonts w:hint="eastAsia" w:ascii="宋体" w:hAnsi="宋体" w:eastAsia="仿宋_GB2312" w:cs="仿宋_GB2312"/>
          <w:b w:val="0"/>
          <w:bCs w:val="0"/>
          <w:color w:val="auto"/>
          <w:sz w:val="32"/>
          <w:szCs w:val="32"/>
          <w:highlight w:val="none"/>
          <w:u w:val="none"/>
          <w:lang w:val="en-US" w:eastAsia="zh-CN"/>
        </w:rPr>
        <w:t>高度</w:t>
      </w:r>
      <w:r>
        <w:rPr>
          <w:rFonts w:hint="eastAsia" w:ascii="宋体" w:hAnsi="宋体" w:eastAsia="仿宋_GB2312" w:cs="仿宋_GB2312"/>
          <w:b w:val="0"/>
          <w:bCs w:val="0"/>
          <w:color w:val="auto"/>
          <w:sz w:val="32"/>
          <w:szCs w:val="32"/>
          <w:highlight w:val="none"/>
          <w:u w:val="none"/>
          <w:lang w:val="en-US"/>
        </w:rPr>
        <w:t>重视，坚持边审边改，有些问题在审计</w:t>
      </w:r>
      <w:r>
        <w:rPr>
          <w:rFonts w:hint="eastAsia" w:ascii="宋体" w:hAnsi="宋体" w:eastAsia="仿宋_GB2312" w:cs="仿宋_GB2312"/>
          <w:b w:val="0"/>
          <w:bCs w:val="0"/>
          <w:color w:val="auto"/>
          <w:sz w:val="32"/>
          <w:szCs w:val="32"/>
          <w:highlight w:val="none"/>
          <w:u w:val="none"/>
          <w:lang w:val="en-US" w:eastAsia="zh-CN"/>
        </w:rPr>
        <w:t>期间</w:t>
      </w:r>
      <w:r>
        <w:rPr>
          <w:rFonts w:hint="eastAsia" w:ascii="宋体" w:hAnsi="宋体" w:eastAsia="仿宋_GB2312" w:cs="仿宋_GB2312"/>
          <w:b w:val="0"/>
          <w:bCs w:val="0"/>
          <w:color w:val="auto"/>
          <w:sz w:val="32"/>
          <w:szCs w:val="32"/>
          <w:highlight w:val="none"/>
          <w:u w:val="none"/>
          <w:lang w:val="en-US"/>
        </w:rPr>
        <w:t>已经纠正。区审计局将会同有关部门加强</w:t>
      </w:r>
      <w:r>
        <w:rPr>
          <w:rFonts w:hint="eastAsia" w:ascii="宋体" w:hAnsi="宋体" w:eastAsia="仿宋_GB2312" w:cs="仿宋_GB2312"/>
          <w:b w:val="0"/>
          <w:bCs w:val="0"/>
          <w:color w:val="auto"/>
          <w:sz w:val="32"/>
          <w:szCs w:val="32"/>
          <w:highlight w:val="none"/>
          <w:u w:val="none"/>
          <w:lang w:val="en-US" w:eastAsia="zh-CN"/>
        </w:rPr>
        <w:t>跟踪</w:t>
      </w:r>
      <w:r>
        <w:rPr>
          <w:rFonts w:hint="eastAsia" w:ascii="宋体" w:hAnsi="宋体" w:eastAsia="仿宋_GB2312" w:cs="仿宋_GB2312"/>
          <w:b w:val="0"/>
          <w:bCs w:val="0"/>
          <w:color w:val="auto"/>
          <w:sz w:val="32"/>
          <w:szCs w:val="32"/>
          <w:highlight w:val="none"/>
          <w:u w:val="none"/>
          <w:lang w:val="en-US"/>
        </w:rPr>
        <w:t>督促</w:t>
      </w:r>
      <w:r>
        <w:rPr>
          <w:rFonts w:hint="eastAsia" w:ascii="宋体" w:hAnsi="宋体" w:eastAsia="仿宋_GB2312" w:cs="仿宋_GB2312"/>
          <w:b w:val="0"/>
          <w:bCs w:val="0"/>
          <w:color w:val="auto"/>
          <w:sz w:val="32"/>
          <w:szCs w:val="32"/>
          <w:highlight w:val="none"/>
          <w:u w:val="none"/>
          <w:lang w:val="en-US" w:eastAsia="zh-CN"/>
        </w:rPr>
        <w:t>力度</w:t>
      </w:r>
      <w:r>
        <w:rPr>
          <w:rFonts w:hint="eastAsia" w:ascii="宋体" w:hAnsi="宋体" w:eastAsia="仿宋_GB2312" w:cs="仿宋_GB2312"/>
          <w:b w:val="0"/>
          <w:bCs w:val="0"/>
          <w:color w:val="auto"/>
          <w:sz w:val="32"/>
          <w:szCs w:val="32"/>
          <w:highlight w:val="none"/>
          <w:u w:val="none"/>
          <w:lang w:val="en-US"/>
        </w:rPr>
        <w:t>，</w:t>
      </w:r>
      <w:r>
        <w:rPr>
          <w:rFonts w:hint="eastAsia" w:ascii="宋体" w:hAnsi="宋体" w:eastAsia="仿宋_GB2312" w:cs="仿宋_GB2312"/>
          <w:b w:val="0"/>
          <w:bCs w:val="0"/>
          <w:color w:val="auto"/>
          <w:sz w:val="32"/>
          <w:szCs w:val="32"/>
          <w:highlight w:val="none"/>
          <w:u w:val="none"/>
          <w:lang w:val="en-US" w:eastAsia="zh-CN"/>
        </w:rPr>
        <w:t>进一步</w:t>
      </w:r>
      <w:r>
        <w:rPr>
          <w:rFonts w:hint="eastAsia" w:ascii="宋体" w:hAnsi="宋体" w:eastAsia="仿宋_GB2312" w:cs="仿宋_GB2312"/>
          <w:b w:val="0"/>
          <w:bCs w:val="0"/>
          <w:color w:val="auto"/>
          <w:sz w:val="32"/>
          <w:szCs w:val="32"/>
          <w:highlight w:val="none"/>
          <w:u w:val="none"/>
          <w:lang w:val="en-US"/>
        </w:rPr>
        <w:t>落实整改</w:t>
      </w:r>
      <w:r>
        <w:rPr>
          <w:rFonts w:hint="eastAsia" w:ascii="宋体" w:hAnsi="宋体" w:eastAsia="仿宋_GB2312" w:cs="仿宋_GB2312"/>
          <w:b w:val="0"/>
          <w:bCs w:val="0"/>
          <w:color w:val="auto"/>
          <w:sz w:val="32"/>
          <w:szCs w:val="32"/>
          <w:highlight w:val="none"/>
          <w:u w:val="none"/>
          <w:lang w:val="en-US" w:eastAsia="zh-CN"/>
        </w:rPr>
        <w:t>要求</w:t>
      </w:r>
      <w:r>
        <w:rPr>
          <w:rFonts w:hint="eastAsia" w:ascii="宋体" w:hAnsi="宋体" w:eastAsia="仿宋_GB2312" w:cs="仿宋_GB2312"/>
          <w:b w:val="0"/>
          <w:bCs w:val="0"/>
          <w:color w:val="auto"/>
          <w:sz w:val="32"/>
          <w:szCs w:val="32"/>
          <w:highlight w:val="none"/>
          <w:u w:val="none"/>
          <w:lang w:val="en-US"/>
        </w:rPr>
        <w:t>，整改</w:t>
      </w:r>
      <w:r>
        <w:rPr>
          <w:rFonts w:hint="eastAsia" w:ascii="宋体" w:hAnsi="宋体" w:eastAsia="仿宋_GB2312" w:cs="仿宋_GB2312"/>
          <w:b w:val="0"/>
          <w:bCs w:val="0"/>
          <w:color w:val="auto"/>
          <w:sz w:val="32"/>
          <w:szCs w:val="32"/>
          <w:highlight w:val="none"/>
          <w:u w:val="none"/>
          <w:lang w:val="en-US" w:eastAsia="zh-CN"/>
        </w:rPr>
        <w:t>情况</w:t>
      </w:r>
      <w:r>
        <w:rPr>
          <w:rFonts w:hint="eastAsia" w:ascii="宋体" w:hAnsi="宋体" w:eastAsia="仿宋_GB2312" w:cs="仿宋_GB2312"/>
          <w:b w:val="0"/>
          <w:bCs w:val="0"/>
          <w:color w:val="auto"/>
          <w:sz w:val="32"/>
          <w:szCs w:val="32"/>
          <w:highlight w:val="none"/>
          <w:u w:val="none"/>
          <w:lang w:val="en-US"/>
        </w:rPr>
        <w:t>将在下半年向区人大常委会报告。</w:t>
      </w:r>
    </w:p>
    <w:p>
      <w:pPr>
        <w:pStyle w:val="11"/>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00" w:firstLineChars="200"/>
        <w:jc w:val="both"/>
        <w:textAlignment w:val="auto"/>
        <w:rPr>
          <w:rFonts w:hint="eastAsia" w:ascii="宋体" w:hAnsi="宋体" w:eastAsia="黑体" w:cs="黑体"/>
          <w:b w:val="0"/>
          <w:bCs w:val="0"/>
          <w:color w:val="auto"/>
          <w:sz w:val="30"/>
          <w:szCs w:val="30"/>
          <w:highlight w:val="none"/>
          <w:u w:val="none"/>
          <w:lang w:val="zh-CN"/>
        </w:rPr>
      </w:pPr>
      <w:r>
        <w:rPr>
          <w:rFonts w:hint="eastAsia" w:ascii="宋体" w:hAnsi="宋体" w:eastAsia="黑体" w:cs="黑体"/>
          <w:b w:val="0"/>
          <w:bCs w:val="0"/>
          <w:color w:val="auto"/>
          <w:sz w:val="30"/>
          <w:szCs w:val="30"/>
          <w:highlight w:val="none"/>
          <w:u w:val="none"/>
          <w:lang w:val="zh-CN"/>
        </w:rPr>
        <w:t>审计建议</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u w:val="none"/>
        </w:rPr>
      </w:pPr>
      <w:r>
        <w:rPr>
          <w:rFonts w:hint="eastAsia" w:ascii="楷体_GB2312" w:hAnsi="楷体_GB2312" w:eastAsia="楷体_GB2312" w:cs="楷体_GB2312"/>
          <w:b w:val="0"/>
          <w:bCs w:val="0"/>
          <w:color w:val="auto"/>
          <w:u w:val="none"/>
          <w:lang w:eastAsia="zh-CN"/>
        </w:rPr>
        <w:t>（</w:t>
      </w:r>
      <w:r>
        <w:rPr>
          <w:rFonts w:hint="eastAsia" w:ascii="楷体_GB2312" w:hAnsi="楷体_GB2312" w:eastAsia="楷体_GB2312" w:cs="楷体_GB2312"/>
          <w:b w:val="0"/>
          <w:bCs w:val="0"/>
          <w:color w:val="auto"/>
          <w:u w:val="none"/>
          <w:lang w:val="en-US" w:eastAsia="zh-CN"/>
        </w:rPr>
        <w:t>一</w:t>
      </w:r>
      <w:r>
        <w:rPr>
          <w:rFonts w:hint="eastAsia" w:ascii="楷体_GB2312" w:hAnsi="楷体_GB2312" w:eastAsia="楷体_GB2312" w:cs="楷体_GB2312"/>
          <w:b w:val="0"/>
          <w:bCs w:val="0"/>
          <w:color w:val="auto"/>
          <w:u w:val="none"/>
          <w:lang w:eastAsia="zh-CN"/>
        </w:rPr>
        <w:t>）</w:t>
      </w:r>
      <w:r>
        <w:rPr>
          <w:rFonts w:hint="eastAsia" w:ascii="楷体_GB2312" w:hAnsi="楷体_GB2312" w:eastAsia="楷体_GB2312" w:cs="楷体_GB2312"/>
          <w:b w:val="0"/>
          <w:bCs w:val="0"/>
          <w:color w:val="auto"/>
          <w:u w:val="none"/>
          <w:lang w:val="en-US" w:eastAsia="zh-CN"/>
        </w:rPr>
        <w:t>坚持</w:t>
      </w:r>
      <w:r>
        <w:rPr>
          <w:rFonts w:hint="eastAsia" w:ascii="楷体_GB2312" w:hAnsi="楷体_GB2312" w:eastAsia="楷体_GB2312" w:cs="楷体_GB2312"/>
          <w:b w:val="0"/>
          <w:bCs w:val="0"/>
          <w:color w:val="auto"/>
          <w:u w:val="none"/>
          <w:lang w:eastAsia="zh-CN"/>
        </w:rPr>
        <w:t>预算</w:t>
      </w:r>
      <w:r>
        <w:rPr>
          <w:rFonts w:hint="eastAsia" w:ascii="楷体_GB2312" w:hAnsi="楷体_GB2312" w:eastAsia="楷体_GB2312" w:cs="楷体_GB2312"/>
          <w:b w:val="0"/>
          <w:bCs w:val="0"/>
          <w:color w:val="auto"/>
          <w:u w:val="none"/>
          <w:lang w:val="en-US" w:eastAsia="zh-CN"/>
        </w:rPr>
        <w:t>法定</w:t>
      </w:r>
      <w:r>
        <w:rPr>
          <w:rFonts w:hint="eastAsia" w:ascii="楷体_GB2312" w:hAnsi="楷体_GB2312" w:eastAsia="楷体_GB2312" w:cs="楷体_GB2312"/>
          <w:b w:val="0"/>
          <w:bCs w:val="0"/>
          <w:color w:val="auto"/>
          <w:u w:val="none"/>
          <w:lang w:eastAsia="zh-CN"/>
        </w:rPr>
        <w:t>，</w:t>
      </w:r>
      <w:r>
        <w:rPr>
          <w:rFonts w:hint="eastAsia" w:ascii="楷体_GB2312" w:hAnsi="楷体_GB2312" w:eastAsia="楷体_GB2312" w:cs="楷体_GB2312"/>
          <w:b w:val="0"/>
          <w:bCs w:val="0"/>
          <w:color w:val="auto"/>
          <w:u w:val="none"/>
          <w:lang w:val="en-US" w:eastAsia="zh-CN"/>
        </w:rPr>
        <w:t>夯实预算管理主体责任</w:t>
      </w:r>
      <w:r>
        <w:rPr>
          <w:rFonts w:hint="eastAsia" w:ascii="楷体_GB2312" w:hAnsi="楷体_GB2312" w:eastAsia="楷体_GB2312" w:cs="楷体_GB2312"/>
          <w:b w:val="0"/>
          <w:bCs w:val="0"/>
          <w:color w:val="auto"/>
          <w:u w:val="none"/>
          <w:lang w:eastAsia="zh-CN"/>
        </w:rPr>
        <w:t>。</w:t>
      </w:r>
      <w:r>
        <w:rPr>
          <w:rFonts w:hint="eastAsia" w:ascii="宋体" w:hAnsi="宋体" w:eastAsia="仿宋_GB2312" w:cs="仿宋_GB2312"/>
          <w:b w:val="0"/>
          <w:bCs w:val="0"/>
          <w:color w:val="auto"/>
          <w:u w:val="none"/>
          <w:lang w:val="en-US" w:eastAsia="zh-CN"/>
        </w:rPr>
        <w:t>建立健全统一的预算管理制度，明确预算单位的主体责任。</w:t>
      </w:r>
      <w:r>
        <w:rPr>
          <w:rFonts w:hint="eastAsia" w:ascii="宋体" w:hAnsi="宋体" w:eastAsia="仿宋_GB2312" w:cs="Times New Roman"/>
          <w:b w:val="0"/>
          <w:bCs w:val="0"/>
          <w:color w:val="auto"/>
          <w:u w:val="none"/>
        </w:rPr>
        <w:t>做实预算申报、审核、批复等环节的基础工作，提高预算编制的</w:t>
      </w:r>
      <w:r>
        <w:rPr>
          <w:rFonts w:hint="eastAsia" w:ascii="宋体" w:hAnsi="宋体" w:eastAsia="仿宋_GB2312" w:cs="Times New Roman"/>
          <w:b w:val="0"/>
          <w:bCs w:val="0"/>
          <w:color w:val="auto"/>
          <w:u w:val="none"/>
          <w:lang w:val="en-US" w:eastAsia="zh-CN"/>
        </w:rPr>
        <w:t>合理性、准确性。</w:t>
      </w:r>
      <w:r>
        <w:rPr>
          <w:rFonts w:hint="eastAsia" w:ascii="宋体" w:hAnsi="宋体" w:eastAsia="仿宋_GB2312" w:cs="仿宋_GB2312"/>
          <w:b w:val="0"/>
          <w:bCs w:val="0"/>
          <w:color w:val="auto"/>
          <w:u w:val="none"/>
          <w:lang w:val="en-US" w:eastAsia="zh-CN"/>
        </w:rPr>
        <w:t>各部门单位要</w:t>
      </w:r>
      <w:r>
        <w:rPr>
          <w:rFonts w:hint="eastAsia" w:ascii="宋体" w:hAnsi="宋体" w:eastAsia="仿宋_GB2312" w:cs="Times New Roman"/>
          <w:b w:val="0"/>
          <w:bCs w:val="0"/>
          <w:color w:val="auto"/>
          <w:u w:val="none"/>
        </w:rPr>
        <w:t>增强先谋事、后预算理念，</w:t>
      </w:r>
      <w:r>
        <w:rPr>
          <w:rFonts w:hint="eastAsia" w:ascii="宋体" w:hAnsi="宋体" w:eastAsia="仿宋_GB2312" w:cs="仿宋_GB2312"/>
          <w:b w:val="0"/>
          <w:bCs w:val="0"/>
          <w:color w:val="auto"/>
          <w:u w:val="none"/>
          <w:lang w:val="en-US" w:eastAsia="zh-CN"/>
        </w:rPr>
        <w:t>统筹事业发展与预算管理，避免预算编制与执行</w:t>
      </w:r>
      <w:r>
        <w:rPr>
          <w:rFonts w:hint="eastAsia" w:eastAsia="仿宋_GB2312" w:cs="仿宋_GB2312"/>
          <w:b w:val="0"/>
          <w:bCs w:val="0"/>
          <w:color w:val="auto"/>
          <w:u w:val="none"/>
          <w:lang w:val="en-US" w:eastAsia="zh-CN"/>
        </w:rPr>
        <w:t>发生</w:t>
      </w:r>
      <w:r>
        <w:rPr>
          <w:rFonts w:hint="eastAsia" w:ascii="宋体" w:hAnsi="宋体" w:eastAsia="仿宋_GB2312" w:cs="仿宋_GB2312"/>
          <w:b w:val="0"/>
          <w:bCs w:val="0"/>
          <w:color w:val="auto"/>
          <w:u w:val="none"/>
          <w:lang w:val="en-US" w:eastAsia="zh-CN"/>
        </w:rPr>
        <w:t>脱节，</w:t>
      </w:r>
      <w:r>
        <w:rPr>
          <w:rFonts w:hint="eastAsia" w:ascii="宋体" w:hAnsi="宋体" w:eastAsia="仿宋_GB2312" w:cs="Times New Roman"/>
          <w:b w:val="0"/>
          <w:bCs w:val="0"/>
          <w:color w:val="auto"/>
          <w:u w:val="none"/>
          <w:lang w:val="en-US" w:eastAsia="zh-CN"/>
        </w:rPr>
        <w:t>增强预算的严肃性，避免反复调整</w:t>
      </w:r>
      <w:r>
        <w:rPr>
          <w:rFonts w:hint="eastAsia" w:ascii="宋体" w:hAnsi="宋体" w:eastAsia="仿宋_GB2312" w:cs="Times New Roman"/>
          <w:b w:val="0"/>
          <w:bCs w:val="0"/>
          <w:color w:val="auto"/>
          <w:u w:val="none"/>
          <w:lang w:eastAsia="zh-CN"/>
        </w:rPr>
        <w:t>。</w:t>
      </w:r>
      <w:r>
        <w:rPr>
          <w:rFonts w:hint="eastAsia" w:ascii="宋体" w:hAnsi="宋体" w:eastAsia="仿宋_GB2312" w:cs="Times New Roman"/>
          <w:b w:val="0"/>
          <w:bCs w:val="0"/>
          <w:color w:val="auto"/>
          <w:u w:val="none"/>
          <w:lang w:val="en-US" w:eastAsia="zh-CN"/>
        </w:rPr>
        <w:t>坚持先有预算后有支出，严禁无预算、超预算安排支出。严肃财经纪律，完善内部控制管理制度，将重大经济事项、大额资金支出纳入“三重一大”决策范围并严格执行。</w:t>
      </w:r>
    </w:p>
    <w:p>
      <w:pPr>
        <w:pStyle w:val="11"/>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u w:val="none"/>
        </w:rPr>
      </w:pPr>
      <w:r>
        <w:rPr>
          <w:rFonts w:hint="eastAsia" w:ascii="楷体_GB2312" w:hAnsi="楷体_GB2312" w:eastAsia="楷体_GB2312" w:cs="楷体_GB2312"/>
          <w:b w:val="0"/>
          <w:bCs w:val="0"/>
          <w:color w:val="auto"/>
          <w:u w:val="none"/>
          <w:lang w:eastAsia="zh-CN"/>
        </w:rPr>
        <w:t>推进绩效管理，提</w:t>
      </w:r>
      <w:r>
        <w:rPr>
          <w:rFonts w:hint="eastAsia" w:ascii="楷体_GB2312" w:hAnsi="楷体_GB2312" w:eastAsia="楷体_GB2312" w:cs="楷体_GB2312"/>
          <w:b w:val="0"/>
          <w:bCs w:val="0"/>
          <w:color w:val="auto"/>
          <w:u w:val="none"/>
          <w:lang w:val="en-US" w:eastAsia="zh-CN"/>
        </w:rPr>
        <w:t>高</w:t>
      </w:r>
      <w:r>
        <w:rPr>
          <w:rFonts w:hint="eastAsia" w:ascii="楷体_GB2312" w:hAnsi="楷体_GB2312" w:eastAsia="楷体_GB2312" w:cs="楷体_GB2312"/>
          <w:b w:val="0"/>
          <w:bCs w:val="0"/>
          <w:color w:val="auto"/>
          <w:u w:val="none"/>
          <w:lang w:eastAsia="zh-CN"/>
        </w:rPr>
        <w:t>财政</w:t>
      </w:r>
      <w:r>
        <w:rPr>
          <w:rFonts w:hint="eastAsia" w:ascii="楷体_GB2312" w:hAnsi="楷体_GB2312" w:eastAsia="楷体_GB2312" w:cs="楷体_GB2312"/>
          <w:b w:val="0"/>
          <w:bCs w:val="0"/>
          <w:color w:val="auto"/>
          <w:u w:val="none"/>
          <w:lang w:val="en-US" w:eastAsia="zh-CN"/>
        </w:rPr>
        <w:t>资金使用效益</w:t>
      </w:r>
      <w:r>
        <w:rPr>
          <w:rFonts w:hint="eastAsia" w:ascii="楷体_GB2312" w:hAnsi="楷体_GB2312" w:eastAsia="楷体_GB2312" w:cs="楷体_GB2312"/>
          <w:b w:val="0"/>
          <w:bCs w:val="0"/>
          <w:color w:val="auto"/>
          <w:u w:val="none"/>
          <w:lang w:eastAsia="zh-CN"/>
        </w:rPr>
        <w:t>。</w:t>
      </w:r>
      <w:r>
        <w:rPr>
          <w:rFonts w:hint="eastAsia" w:ascii="宋体" w:hAnsi="宋体" w:eastAsia="仿宋_GB2312" w:cs="仿宋_GB2312"/>
          <w:b w:val="0"/>
          <w:bCs w:val="0"/>
          <w:color w:val="auto"/>
          <w:u w:val="none"/>
          <w:lang w:val="en-US" w:eastAsia="zh-CN"/>
        </w:rPr>
        <w:t>坚持全面推进，除一般公共预算外，将政府性基金预算、国有资本</w:t>
      </w:r>
      <w:r>
        <w:rPr>
          <w:rFonts w:hint="eastAsia" w:eastAsia="仿宋_GB2312" w:cs="仿宋_GB2312"/>
          <w:b w:val="0"/>
          <w:bCs w:val="0"/>
          <w:color w:val="auto"/>
          <w:u w:val="none"/>
          <w:lang w:val="en-US" w:eastAsia="zh-CN"/>
        </w:rPr>
        <w:t>经营</w:t>
      </w:r>
      <w:r>
        <w:rPr>
          <w:rFonts w:hint="eastAsia" w:ascii="宋体" w:hAnsi="宋体" w:eastAsia="仿宋_GB2312" w:cs="仿宋_GB2312"/>
          <w:b w:val="0"/>
          <w:bCs w:val="0"/>
          <w:color w:val="auto"/>
          <w:u w:val="none"/>
          <w:lang w:val="en-US" w:eastAsia="zh-CN"/>
        </w:rPr>
        <w:t>预算全部纳入绩效管理，将预算绩效理念和方法深度融入预算编制、执行和监督全过程。在推动绩效目标全覆盖的基础上，突出重点，针对</w:t>
      </w:r>
      <w:r>
        <w:rPr>
          <w:rFonts w:hint="eastAsia" w:ascii="宋体" w:hAnsi="宋体" w:eastAsia="仿宋_GB2312" w:cs="Times New Roman"/>
          <w:b w:val="0"/>
          <w:bCs w:val="0"/>
          <w:color w:val="auto"/>
          <w:u w:val="none"/>
        </w:rPr>
        <w:t>重点和大额支出项目</w:t>
      </w:r>
      <w:r>
        <w:rPr>
          <w:rFonts w:hint="eastAsia" w:ascii="宋体" w:hAnsi="宋体" w:eastAsia="仿宋_GB2312" w:cs="Times New Roman"/>
          <w:b w:val="0"/>
          <w:bCs w:val="0"/>
          <w:color w:val="auto"/>
          <w:u w:val="none"/>
          <w:lang w:val="en-US" w:eastAsia="zh-CN"/>
        </w:rPr>
        <w:t>设置</w:t>
      </w:r>
      <w:r>
        <w:rPr>
          <w:rFonts w:hint="eastAsia" w:ascii="宋体" w:hAnsi="宋体" w:eastAsia="仿宋_GB2312" w:cs="Times New Roman"/>
          <w:b w:val="0"/>
          <w:bCs w:val="0"/>
          <w:color w:val="auto"/>
          <w:u w:val="none"/>
        </w:rPr>
        <w:t>清晰、</w:t>
      </w:r>
      <w:r>
        <w:rPr>
          <w:rFonts w:hint="eastAsia" w:ascii="宋体" w:hAnsi="宋体" w:eastAsia="仿宋_GB2312" w:cs="Times New Roman"/>
          <w:b w:val="0"/>
          <w:bCs w:val="0"/>
          <w:color w:val="auto"/>
          <w:u w:val="none"/>
          <w:lang w:val="en-US" w:eastAsia="zh-CN"/>
        </w:rPr>
        <w:t>细化、</w:t>
      </w:r>
      <w:r>
        <w:rPr>
          <w:rFonts w:hint="eastAsia" w:ascii="宋体" w:hAnsi="宋体" w:eastAsia="仿宋_GB2312" w:cs="Times New Roman"/>
          <w:b w:val="0"/>
          <w:bCs w:val="0"/>
          <w:color w:val="auto"/>
          <w:u w:val="none"/>
        </w:rPr>
        <w:t>量化</w:t>
      </w:r>
      <w:r>
        <w:rPr>
          <w:rFonts w:hint="eastAsia" w:ascii="宋体" w:hAnsi="宋体" w:eastAsia="仿宋_GB2312" w:cs="Times New Roman"/>
          <w:b w:val="0"/>
          <w:bCs w:val="0"/>
          <w:color w:val="auto"/>
          <w:u w:val="none"/>
          <w:lang w:val="en-US" w:eastAsia="zh-CN"/>
        </w:rPr>
        <w:t>的绩效目标</w:t>
      </w:r>
      <w:r>
        <w:rPr>
          <w:rFonts w:hint="eastAsia" w:ascii="宋体" w:hAnsi="宋体" w:eastAsia="仿宋_GB2312" w:cs="Times New Roman"/>
          <w:b w:val="0"/>
          <w:bCs w:val="0"/>
          <w:color w:val="auto"/>
          <w:u w:val="none"/>
          <w:lang w:eastAsia="zh-CN"/>
        </w:rPr>
        <w:t>，</w:t>
      </w:r>
      <w:r>
        <w:rPr>
          <w:rFonts w:hint="eastAsia" w:ascii="宋体" w:hAnsi="宋体" w:eastAsia="仿宋_GB2312" w:cs="Times New Roman"/>
          <w:b w:val="0"/>
          <w:bCs w:val="0"/>
          <w:color w:val="auto"/>
          <w:u w:val="none"/>
        </w:rPr>
        <w:t>合理确定</w:t>
      </w:r>
      <w:r>
        <w:rPr>
          <w:rFonts w:hint="eastAsia" w:ascii="宋体" w:hAnsi="宋体" w:eastAsia="仿宋_GB2312" w:cs="Times New Roman"/>
          <w:b w:val="0"/>
          <w:bCs w:val="0"/>
          <w:dstrike w:val="0"/>
          <w:color w:val="auto"/>
          <w:u w:val="none"/>
        </w:rPr>
        <w:t>支出</w:t>
      </w:r>
      <w:r>
        <w:rPr>
          <w:rFonts w:hint="eastAsia" w:ascii="宋体" w:hAnsi="宋体" w:eastAsia="仿宋_GB2312" w:cs="Times New Roman"/>
          <w:b w:val="0"/>
          <w:bCs w:val="0"/>
          <w:color w:val="auto"/>
          <w:u w:val="none"/>
        </w:rPr>
        <w:t>预算规模</w:t>
      </w:r>
      <w:r>
        <w:rPr>
          <w:rFonts w:hint="eastAsia" w:ascii="宋体" w:hAnsi="宋体" w:eastAsia="仿宋_GB2312" w:cs="Times New Roman"/>
          <w:b w:val="0"/>
          <w:bCs w:val="0"/>
          <w:color w:val="auto"/>
          <w:u w:val="none"/>
          <w:lang w:eastAsia="zh-CN"/>
        </w:rPr>
        <w:t>。</w:t>
      </w:r>
      <w:r>
        <w:rPr>
          <w:rFonts w:hint="eastAsia" w:ascii="宋体" w:hAnsi="宋体" w:eastAsia="仿宋_GB2312" w:cs="Times New Roman"/>
          <w:b w:val="0"/>
          <w:bCs w:val="0"/>
          <w:color w:val="auto"/>
          <w:u w:val="none"/>
          <w:lang w:val="en-US" w:eastAsia="zh-CN"/>
        </w:rPr>
        <w:t>加强绩效运行跟踪管理，及时纠正发现问题，确保绩效目标保质保量完成</w:t>
      </w:r>
      <w:r>
        <w:rPr>
          <w:rFonts w:hint="eastAsia" w:ascii="宋体" w:hAnsi="宋体" w:eastAsia="仿宋_GB2312" w:cs="Times New Roman"/>
          <w:b w:val="0"/>
          <w:bCs w:val="0"/>
          <w:color w:val="auto"/>
          <w:u w:val="none"/>
          <w:lang w:eastAsia="zh-CN"/>
        </w:rPr>
        <w:t>。</w:t>
      </w:r>
      <w:r>
        <w:rPr>
          <w:rFonts w:hint="eastAsia" w:ascii="宋体" w:hAnsi="宋体" w:eastAsia="仿宋_GB2312" w:cs="Times New Roman"/>
          <w:b w:val="0"/>
          <w:bCs w:val="0"/>
          <w:color w:val="auto"/>
          <w:u w:val="none"/>
          <w:lang w:val="en-US" w:eastAsia="zh-CN"/>
        </w:rPr>
        <w:t>提高绩效自评和外部评价质量，</w:t>
      </w:r>
      <w:r>
        <w:rPr>
          <w:rFonts w:hint="eastAsia" w:ascii="宋体" w:hAnsi="宋体" w:eastAsia="仿宋_GB2312" w:cs="仿宋_GB2312"/>
          <w:b w:val="0"/>
          <w:bCs w:val="0"/>
          <w:color w:val="auto"/>
          <w:u w:val="none"/>
          <w:lang w:val="en-US" w:eastAsia="zh-CN"/>
        </w:rPr>
        <w:t>强化绩效激励约束机制，建立绩效评价结果与预算安排、政策调整的挂钩机制。</w:t>
      </w:r>
    </w:p>
    <w:p>
      <w:pPr>
        <w:pStyle w:val="11"/>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highlight w:val="none"/>
          <w:u w:val="none"/>
        </w:rPr>
      </w:pPr>
      <w:r>
        <w:rPr>
          <w:rFonts w:hint="eastAsia" w:ascii="楷体_GB2312" w:hAnsi="楷体_GB2312" w:eastAsia="楷体_GB2312" w:cs="楷体_GB2312"/>
          <w:b w:val="0"/>
          <w:bCs w:val="0"/>
          <w:color w:val="auto"/>
          <w:u w:val="none"/>
          <w:lang w:eastAsia="zh-CN"/>
        </w:rPr>
        <w:t>增强</w:t>
      </w:r>
      <w:r>
        <w:rPr>
          <w:rFonts w:hint="eastAsia" w:ascii="楷体_GB2312" w:hAnsi="楷体_GB2312" w:eastAsia="楷体_GB2312" w:cs="楷体_GB2312"/>
          <w:b w:val="0"/>
          <w:bCs w:val="0"/>
          <w:color w:val="auto"/>
          <w:u w:val="none"/>
          <w:lang w:val="en-US" w:eastAsia="zh-CN"/>
        </w:rPr>
        <w:t>节支</w:t>
      </w:r>
      <w:r>
        <w:rPr>
          <w:rFonts w:hint="eastAsia" w:ascii="楷体_GB2312" w:hAnsi="楷体_GB2312" w:eastAsia="楷体_GB2312" w:cs="楷体_GB2312"/>
          <w:b w:val="0"/>
          <w:bCs w:val="0"/>
          <w:color w:val="auto"/>
          <w:u w:val="none"/>
          <w:lang w:eastAsia="zh-CN"/>
        </w:rPr>
        <w:t>意识，</w:t>
      </w:r>
      <w:r>
        <w:rPr>
          <w:rFonts w:hint="eastAsia" w:ascii="楷体_GB2312" w:hAnsi="楷体_GB2312" w:eastAsia="楷体_GB2312" w:cs="楷体_GB2312"/>
          <w:b w:val="0"/>
          <w:bCs w:val="0"/>
          <w:color w:val="auto"/>
          <w:u w:val="none"/>
          <w:lang w:val="en-US" w:eastAsia="zh-CN"/>
        </w:rPr>
        <w:t>构建过紧日子长效机制</w:t>
      </w:r>
      <w:r>
        <w:rPr>
          <w:rFonts w:hint="eastAsia" w:ascii="楷体_GB2312" w:hAnsi="楷体_GB2312" w:eastAsia="楷体_GB2312" w:cs="楷体_GB2312"/>
          <w:b w:val="0"/>
          <w:bCs w:val="0"/>
          <w:color w:val="auto"/>
          <w:u w:val="none"/>
          <w:lang w:eastAsia="zh-CN"/>
        </w:rPr>
        <w:t>。</w:t>
      </w:r>
      <w:r>
        <w:rPr>
          <w:rFonts w:hint="eastAsia" w:ascii="宋体" w:hAnsi="宋体" w:eastAsia="仿宋_GB2312" w:cs="Times New Roman"/>
          <w:b w:val="0"/>
          <w:bCs w:val="0"/>
          <w:color w:val="auto"/>
          <w:u w:val="none"/>
          <w:lang w:eastAsia="zh-CN"/>
        </w:rPr>
        <w:t>树牢“过紧日</w:t>
      </w:r>
      <w:bookmarkStart w:id="0" w:name="_GoBack"/>
      <w:bookmarkEnd w:id="0"/>
      <w:r>
        <w:rPr>
          <w:rFonts w:hint="eastAsia" w:ascii="宋体" w:hAnsi="宋体" w:eastAsia="仿宋_GB2312" w:cs="Times New Roman"/>
          <w:b w:val="0"/>
          <w:bCs w:val="0"/>
          <w:color w:val="auto"/>
          <w:u w:val="none"/>
          <w:lang w:eastAsia="zh-CN"/>
        </w:rPr>
        <w:t>子”</w:t>
      </w:r>
      <w:r>
        <w:rPr>
          <w:rFonts w:hint="eastAsia" w:ascii="宋体" w:hAnsi="宋体" w:eastAsia="仿宋_GB2312" w:cs="Times New Roman"/>
          <w:b w:val="0"/>
          <w:bCs w:val="0"/>
          <w:color w:val="auto"/>
          <w:u w:val="none"/>
          <w:lang w:val="en-US" w:eastAsia="zh-CN"/>
        </w:rPr>
        <w:t>思想，坚持有保有压，从严从紧安排预算，提高支出分配的精准优化。优先安排“三保”支出，兜牢兜实民生保障底线。压缩一般性支出，削减低效无效支出。加强财政资源统筹力度，全面清理重大项目结存资金，进一步盘活资金及资产存量。建立</w:t>
      </w:r>
      <w:r>
        <w:rPr>
          <w:rFonts w:hint="eastAsia" w:ascii="宋体" w:hAnsi="宋体" w:eastAsia="仿宋_GB2312" w:cs="Times New Roman"/>
          <w:b w:val="0"/>
          <w:bCs w:val="0"/>
          <w:color w:val="auto"/>
          <w:u w:val="none"/>
        </w:rPr>
        <w:t>健全</w:t>
      </w:r>
      <w:r>
        <w:rPr>
          <w:rFonts w:hint="eastAsia" w:ascii="宋体" w:hAnsi="宋体" w:eastAsia="仿宋_GB2312" w:cs="Times New Roman"/>
          <w:b w:val="0"/>
          <w:bCs w:val="0"/>
          <w:color w:val="auto"/>
          <w:u w:val="none"/>
          <w:lang w:val="en-US" w:eastAsia="zh-CN"/>
        </w:rPr>
        <w:t>政府</w:t>
      </w:r>
      <w:r>
        <w:rPr>
          <w:rFonts w:hint="eastAsia" w:ascii="宋体" w:hAnsi="宋体" w:eastAsia="仿宋_GB2312" w:cs="Times New Roman"/>
          <w:b w:val="0"/>
          <w:bCs w:val="0"/>
          <w:color w:val="auto"/>
          <w:u w:val="none"/>
        </w:rPr>
        <w:t>投资</w:t>
      </w:r>
      <w:r>
        <w:rPr>
          <w:rFonts w:hint="eastAsia" w:ascii="宋体" w:hAnsi="宋体" w:eastAsia="仿宋_GB2312" w:cs="Times New Roman"/>
          <w:b w:val="0"/>
          <w:bCs w:val="0"/>
          <w:color w:val="auto"/>
          <w:u w:val="none"/>
          <w:lang w:val="en-US" w:eastAsia="zh-CN"/>
        </w:rPr>
        <w:t>全过程监管机制，强化建设单位管理责任，避免超概算建设问题，促进有效投资。规范各级转移支付资金，管好用好财政直达资金，落实惠企利民政策。加强行政性国有资产管理，夯实管理基础，促进资产的合理配置和有效使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宋体" w:hAnsi="宋体"/>
          <w:b w:val="0"/>
          <w:bCs w:val="0"/>
          <w:color w:val="auto"/>
          <w:highlight w:val="none"/>
          <w:u w:val="none"/>
        </w:rPr>
      </w:pPr>
    </w:p>
    <w:sectPr>
      <w:footerReference r:id="rId3" w:type="default"/>
      <w:pgSz w:w="11906" w:h="16838"/>
      <w:pgMar w:top="2098" w:right="1474" w:bottom="198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ind w:left="420" w:leftChars="200" w:right="420" w:right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ind w:left="420" w:leftChars="200" w:right="420" w:right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E3701"/>
    <w:multiLevelType w:val="singleLevel"/>
    <w:tmpl w:val="9AEE3701"/>
    <w:lvl w:ilvl="0" w:tentative="0">
      <w:start w:val="6"/>
      <w:numFmt w:val="chineseCounting"/>
      <w:suff w:val="nothing"/>
      <w:lvlText w:val="%1、"/>
      <w:lvlJc w:val="left"/>
      <w:rPr>
        <w:rFonts w:hint="eastAsia"/>
      </w:rPr>
    </w:lvl>
  </w:abstractNum>
  <w:abstractNum w:abstractNumId="1">
    <w:nsid w:val="AE6B769E"/>
    <w:multiLevelType w:val="singleLevel"/>
    <w:tmpl w:val="AE6B769E"/>
    <w:lvl w:ilvl="0" w:tentative="0">
      <w:start w:val="2"/>
      <w:numFmt w:val="chineseCounting"/>
      <w:suff w:val="nothing"/>
      <w:lvlText w:val="（%1）"/>
      <w:lvlJc w:val="left"/>
      <w:rPr>
        <w:rFonts w:hint="eastAsia"/>
      </w:rPr>
    </w:lvl>
  </w:abstractNum>
  <w:abstractNum w:abstractNumId="2">
    <w:nsid w:val="199C9151"/>
    <w:multiLevelType w:val="singleLevel"/>
    <w:tmpl w:val="199C9151"/>
    <w:lvl w:ilvl="0" w:tentative="0">
      <w:start w:val="8"/>
      <w:numFmt w:val="chineseCounting"/>
      <w:suff w:val="nothing"/>
      <w:lvlText w:val="%1、"/>
      <w:lvlJc w:val="left"/>
      <w:rPr>
        <w:rFonts w:hint="eastAsia"/>
      </w:rPr>
    </w:lvl>
  </w:abstractNum>
  <w:abstractNum w:abstractNumId="3">
    <w:nsid w:val="69F987C4"/>
    <w:multiLevelType w:val="singleLevel"/>
    <w:tmpl w:val="69F987C4"/>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DA2MjcyOWQxZDgwYmZiMTM5OTk2MjZhZmMyMzAifQ=="/>
  </w:docVars>
  <w:rsids>
    <w:rsidRoot w:val="00000000"/>
    <w:rsid w:val="00083919"/>
    <w:rsid w:val="01202E9F"/>
    <w:rsid w:val="012D1E96"/>
    <w:rsid w:val="014640DC"/>
    <w:rsid w:val="017B11E4"/>
    <w:rsid w:val="01C42B8B"/>
    <w:rsid w:val="03EE2141"/>
    <w:rsid w:val="03F85DF0"/>
    <w:rsid w:val="043D6C25"/>
    <w:rsid w:val="047D369E"/>
    <w:rsid w:val="04A07EA0"/>
    <w:rsid w:val="04CB7AB4"/>
    <w:rsid w:val="04F441DD"/>
    <w:rsid w:val="04F76DD4"/>
    <w:rsid w:val="05453FE3"/>
    <w:rsid w:val="05632BF5"/>
    <w:rsid w:val="059A4270"/>
    <w:rsid w:val="05A52CD4"/>
    <w:rsid w:val="05B526C2"/>
    <w:rsid w:val="05DD710F"/>
    <w:rsid w:val="05E530D0"/>
    <w:rsid w:val="05EF6B3E"/>
    <w:rsid w:val="06277B8D"/>
    <w:rsid w:val="06993C7E"/>
    <w:rsid w:val="06A64C35"/>
    <w:rsid w:val="07594DD3"/>
    <w:rsid w:val="076410C3"/>
    <w:rsid w:val="07F1189A"/>
    <w:rsid w:val="08056409"/>
    <w:rsid w:val="08103071"/>
    <w:rsid w:val="08144587"/>
    <w:rsid w:val="086679C8"/>
    <w:rsid w:val="08B457E7"/>
    <w:rsid w:val="091617B1"/>
    <w:rsid w:val="094B1630"/>
    <w:rsid w:val="097D2529"/>
    <w:rsid w:val="09AD2157"/>
    <w:rsid w:val="0AFB34F9"/>
    <w:rsid w:val="0AFC5AB9"/>
    <w:rsid w:val="0B061847"/>
    <w:rsid w:val="0B325009"/>
    <w:rsid w:val="0BEE20DC"/>
    <w:rsid w:val="0BFA30B5"/>
    <w:rsid w:val="0C1C21AC"/>
    <w:rsid w:val="0C3C77C2"/>
    <w:rsid w:val="0C6E1671"/>
    <w:rsid w:val="0C804552"/>
    <w:rsid w:val="0C852349"/>
    <w:rsid w:val="0CCD48BE"/>
    <w:rsid w:val="0CF04635"/>
    <w:rsid w:val="0DA72958"/>
    <w:rsid w:val="0DC938E4"/>
    <w:rsid w:val="0DEC53D8"/>
    <w:rsid w:val="0DF30354"/>
    <w:rsid w:val="0DF74345"/>
    <w:rsid w:val="0DFE2EE2"/>
    <w:rsid w:val="0E211365"/>
    <w:rsid w:val="0E7E1404"/>
    <w:rsid w:val="0EED0CB1"/>
    <w:rsid w:val="10375178"/>
    <w:rsid w:val="1083539F"/>
    <w:rsid w:val="10F15FB3"/>
    <w:rsid w:val="110F1949"/>
    <w:rsid w:val="11201E87"/>
    <w:rsid w:val="115D412C"/>
    <w:rsid w:val="11A42F06"/>
    <w:rsid w:val="11E01661"/>
    <w:rsid w:val="12674668"/>
    <w:rsid w:val="12D037F8"/>
    <w:rsid w:val="13113ADB"/>
    <w:rsid w:val="13345FCF"/>
    <w:rsid w:val="13CF478A"/>
    <w:rsid w:val="14106DC1"/>
    <w:rsid w:val="14155FFA"/>
    <w:rsid w:val="144B2281"/>
    <w:rsid w:val="144F1C55"/>
    <w:rsid w:val="14614856"/>
    <w:rsid w:val="146C51D7"/>
    <w:rsid w:val="14D90A44"/>
    <w:rsid w:val="14FC3F92"/>
    <w:rsid w:val="15233C64"/>
    <w:rsid w:val="152734FA"/>
    <w:rsid w:val="15834320"/>
    <w:rsid w:val="160B549D"/>
    <w:rsid w:val="1632283F"/>
    <w:rsid w:val="167D201D"/>
    <w:rsid w:val="17176494"/>
    <w:rsid w:val="172D48D7"/>
    <w:rsid w:val="17497230"/>
    <w:rsid w:val="17731CE3"/>
    <w:rsid w:val="18B24E72"/>
    <w:rsid w:val="192B33A3"/>
    <w:rsid w:val="192C3C0C"/>
    <w:rsid w:val="19904744"/>
    <w:rsid w:val="19A5599D"/>
    <w:rsid w:val="19B26295"/>
    <w:rsid w:val="19E164BA"/>
    <w:rsid w:val="19E5593D"/>
    <w:rsid w:val="1A054770"/>
    <w:rsid w:val="1A9516F2"/>
    <w:rsid w:val="1B074DBE"/>
    <w:rsid w:val="1B880C21"/>
    <w:rsid w:val="1BB16F47"/>
    <w:rsid w:val="1BE13414"/>
    <w:rsid w:val="1BF92BC2"/>
    <w:rsid w:val="1BFD7F6D"/>
    <w:rsid w:val="1C6C3F7E"/>
    <w:rsid w:val="1CA16557"/>
    <w:rsid w:val="1CEE68B6"/>
    <w:rsid w:val="1DFE4BD5"/>
    <w:rsid w:val="1EF001CF"/>
    <w:rsid w:val="1F4B1DA5"/>
    <w:rsid w:val="1F4C4682"/>
    <w:rsid w:val="1FA871F0"/>
    <w:rsid w:val="20117C39"/>
    <w:rsid w:val="201B3E66"/>
    <w:rsid w:val="20586479"/>
    <w:rsid w:val="21310D1B"/>
    <w:rsid w:val="213D4BC5"/>
    <w:rsid w:val="21717AB6"/>
    <w:rsid w:val="217421F1"/>
    <w:rsid w:val="218E7F84"/>
    <w:rsid w:val="21D908F7"/>
    <w:rsid w:val="22FA64C2"/>
    <w:rsid w:val="232A7B8B"/>
    <w:rsid w:val="2393541D"/>
    <w:rsid w:val="23CB5DFA"/>
    <w:rsid w:val="23DC66CD"/>
    <w:rsid w:val="24031718"/>
    <w:rsid w:val="24224138"/>
    <w:rsid w:val="24414F55"/>
    <w:rsid w:val="244E625C"/>
    <w:rsid w:val="24897B3B"/>
    <w:rsid w:val="249B5576"/>
    <w:rsid w:val="24CC06A1"/>
    <w:rsid w:val="25DB2AE9"/>
    <w:rsid w:val="26A52D3E"/>
    <w:rsid w:val="270B4A53"/>
    <w:rsid w:val="272E1912"/>
    <w:rsid w:val="277005AD"/>
    <w:rsid w:val="2865484F"/>
    <w:rsid w:val="28BF41F7"/>
    <w:rsid w:val="28DE3A87"/>
    <w:rsid w:val="29C64E6E"/>
    <w:rsid w:val="29E001BB"/>
    <w:rsid w:val="2A787BC3"/>
    <w:rsid w:val="2B2A0E31"/>
    <w:rsid w:val="2B3312DE"/>
    <w:rsid w:val="2B98304D"/>
    <w:rsid w:val="2BA06E71"/>
    <w:rsid w:val="2BA50E41"/>
    <w:rsid w:val="2BC36EFA"/>
    <w:rsid w:val="2BD967CE"/>
    <w:rsid w:val="2BFB4B4C"/>
    <w:rsid w:val="2CDC13EF"/>
    <w:rsid w:val="2D04529F"/>
    <w:rsid w:val="2D1A5C83"/>
    <w:rsid w:val="2D643359"/>
    <w:rsid w:val="2D8566DE"/>
    <w:rsid w:val="2D8C1F00"/>
    <w:rsid w:val="2DDA5E4B"/>
    <w:rsid w:val="2E1F2D74"/>
    <w:rsid w:val="2E4B562C"/>
    <w:rsid w:val="2EC418A8"/>
    <w:rsid w:val="2EC4391B"/>
    <w:rsid w:val="2F584E16"/>
    <w:rsid w:val="2FA07EE4"/>
    <w:rsid w:val="2FB90FA6"/>
    <w:rsid w:val="2FE72D81"/>
    <w:rsid w:val="2FEC2319"/>
    <w:rsid w:val="30AA7103"/>
    <w:rsid w:val="30D456D5"/>
    <w:rsid w:val="312C54B2"/>
    <w:rsid w:val="316177D1"/>
    <w:rsid w:val="33072028"/>
    <w:rsid w:val="33232C4B"/>
    <w:rsid w:val="338673F1"/>
    <w:rsid w:val="33971EAE"/>
    <w:rsid w:val="33A97DD7"/>
    <w:rsid w:val="33E459A5"/>
    <w:rsid w:val="349A75F8"/>
    <w:rsid w:val="34E157A5"/>
    <w:rsid w:val="34F44C30"/>
    <w:rsid w:val="355552CD"/>
    <w:rsid w:val="356A3F23"/>
    <w:rsid w:val="361D359E"/>
    <w:rsid w:val="36B30238"/>
    <w:rsid w:val="36E64092"/>
    <w:rsid w:val="36EB0EB3"/>
    <w:rsid w:val="36ED48A0"/>
    <w:rsid w:val="37190BC6"/>
    <w:rsid w:val="37194233"/>
    <w:rsid w:val="3781601A"/>
    <w:rsid w:val="378E2D18"/>
    <w:rsid w:val="37ED26D7"/>
    <w:rsid w:val="38237904"/>
    <w:rsid w:val="38D8504C"/>
    <w:rsid w:val="38F61CA6"/>
    <w:rsid w:val="396F4F47"/>
    <w:rsid w:val="39A052B9"/>
    <w:rsid w:val="3A2C203E"/>
    <w:rsid w:val="3AA32719"/>
    <w:rsid w:val="3AE16320"/>
    <w:rsid w:val="3AEF3ACE"/>
    <w:rsid w:val="3B304812"/>
    <w:rsid w:val="3B9D5C20"/>
    <w:rsid w:val="3BE455FD"/>
    <w:rsid w:val="3BE7454D"/>
    <w:rsid w:val="3BED565D"/>
    <w:rsid w:val="3C462BF6"/>
    <w:rsid w:val="3C6B187A"/>
    <w:rsid w:val="3C993525"/>
    <w:rsid w:val="3CEB75EB"/>
    <w:rsid w:val="3D210DFB"/>
    <w:rsid w:val="3D2A36EB"/>
    <w:rsid w:val="3D9646D4"/>
    <w:rsid w:val="3DDF0AAA"/>
    <w:rsid w:val="3DEF7E8E"/>
    <w:rsid w:val="3E460A85"/>
    <w:rsid w:val="3EC75217"/>
    <w:rsid w:val="3ED951C1"/>
    <w:rsid w:val="3F403283"/>
    <w:rsid w:val="3F82178F"/>
    <w:rsid w:val="3F8F762D"/>
    <w:rsid w:val="3FAB22D0"/>
    <w:rsid w:val="3FBC2D17"/>
    <w:rsid w:val="4073794A"/>
    <w:rsid w:val="412E0C6D"/>
    <w:rsid w:val="41386C98"/>
    <w:rsid w:val="417E5BAB"/>
    <w:rsid w:val="41914EBE"/>
    <w:rsid w:val="41A35C89"/>
    <w:rsid w:val="42650B37"/>
    <w:rsid w:val="42F500EF"/>
    <w:rsid w:val="4395431C"/>
    <w:rsid w:val="43DB5A08"/>
    <w:rsid w:val="43F263DD"/>
    <w:rsid w:val="43FF25CC"/>
    <w:rsid w:val="44C76090"/>
    <w:rsid w:val="45791C36"/>
    <w:rsid w:val="46C36136"/>
    <w:rsid w:val="46FD57C4"/>
    <w:rsid w:val="476C382D"/>
    <w:rsid w:val="48430F31"/>
    <w:rsid w:val="48766D91"/>
    <w:rsid w:val="48D433F2"/>
    <w:rsid w:val="48F50EEE"/>
    <w:rsid w:val="48F51B80"/>
    <w:rsid w:val="491447AA"/>
    <w:rsid w:val="496F33D3"/>
    <w:rsid w:val="49E922BC"/>
    <w:rsid w:val="49FC0652"/>
    <w:rsid w:val="4A0C2FCC"/>
    <w:rsid w:val="4A6022F2"/>
    <w:rsid w:val="4AAA0730"/>
    <w:rsid w:val="4AEC1DD8"/>
    <w:rsid w:val="4B94283C"/>
    <w:rsid w:val="4BFB0965"/>
    <w:rsid w:val="4C03237E"/>
    <w:rsid w:val="4C397B49"/>
    <w:rsid w:val="4CA52567"/>
    <w:rsid w:val="4CE10844"/>
    <w:rsid w:val="4CE136D2"/>
    <w:rsid w:val="4CE34708"/>
    <w:rsid w:val="4D4D4947"/>
    <w:rsid w:val="4E214614"/>
    <w:rsid w:val="4F20157A"/>
    <w:rsid w:val="5043693E"/>
    <w:rsid w:val="5055531F"/>
    <w:rsid w:val="505D4CC8"/>
    <w:rsid w:val="50772144"/>
    <w:rsid w:val="50B37886"/>
    <w:rsid w:val="513A16D5"/>
    <w:rsid w:val="516D65C3"/>
    <w:rsid w:val="51E50315"/>
    <w:rsid w:val="51F77960"/>
    <w:rsid w:val="52026C0D"/>
    <w:rsid w:val="528E778C"/>
    <w:rsid w:val="531F708B"/>
    <w:rsid w:val="5371691A"/>
    <w:rsid w:val="53AB7A48"/>
    <w:rsid w:val="53DF42D1"/>
    <w:rsid w:val="54161C73"/>
    <w:rsid w:val="54700E3E"/>
    <w:rsid w:val="549110BC"/>
    <w:rsid w:val="549113B3"/>
    <w:rsid w:val="54F77CF7"/>
    <w:rsid w:val="55047236"/>
    <w:rsid w:val="55060354"/>
    <w:rsid w:val="55132900"/>
    <w:rsid w:val="552F7491"/>
    <w:rsid w:val="55B45B88"/>
    <w:rsid w:val="56202B6C"/>
    <w:rsid w:val="56FB3D50"/>
    <w:rsid w:val="571C3CF1"/>
    <w:rsid w:val="5730033F"/>
    <w:rsid w:val="57A40D5C"/>
    <w:rsid w:val="587B1EB6"/>
    <w:rsid w:val="58CB176E"/>
    <w:rsid w:val="58DF1825"/>
    <w:rsid w:val="592050D3"/>
    <w:rsid w:val="59737978"/>
    <w:rsid w:val="59B07DE2"/>
    <w:rsid w:val="59CF4D9E"/>
    <w:rsid w:val="5A6F4745"/>
    <w:rsid w:val="5AE47614"/>
    <w:rsid w:val="5AFA0B77"/>
    <w:rsid w:val="5B3A26EB"/>
    <w:rsid w:val="5B3C1C49"/>
    <w:rsid w:val="5B775347"/>
    <w:rsid w:val="5B8E3BF7"/>
    <w:rsid w:val="5BA55BB8"/>
    <w:rsid w:val="5BB00510"/>
    <w:rsid w:val="5C2802A0"/>
    <w:rsid w:val="5C4E644E"/>
    <w:rsid w:val="5C4F2557"/>
    <w:rsid w:val="5C7010B5"/>
    <w:rsid w:val="5C7834CB"/>
    <w:rsid w:val="5CA11064"/>
    <w:rsid w:val="5CDF673A"/>
    <w:rsid w:val="5D2F1393"/>
    <w:rsid w:val="5D7B0BC5"/>
    <w:rsid w:val="5D922BE0"/>
    <w:rsid w:val="5DD741D7"/>
    <w:rsid w:val="5DF83FF1"/>
    <w:rsid w:val="5E19746C"/>
    <w:rsid w:val="5E782EE9"/>
    <w:rsid w:val="5F2673D4"/>
    <w:rsid w:val="5FFF3FA5"/>
    <w:rsid w:val="607336EB"/>
    <w:rsid w:val="6095611D"/>
    <w:rsid w:val="61841917"/>
    <w:rsid w:val="6199660B"/>
    <w:rsid w:val="623600B0"/>
    <w:rsid w:val="626330E3"/>
    <w:rsid w:val="62B1770D"/>
    <w:rsid w:val="630C4FCF"/>
    <w:rsid w:val="631A361C"/>
    <w:rsid w:val="63211DC1"/>
    <w:rsid w:val="632716D0"/>
    <w:rsid w:val="633032C5"/>
    <w:rsid w:val="63396021"/>
    <w:rsid w:val="641071BA"/>
    <w:rsid w:val="64351664"/>
    <w:rsid w:val="644B7717"/>
    <w:rsid w:val="64772FD9"/>
    <w:rsid w:val="64E21E2A"/>
    <w:rsid w:val="6502427A"/>
    <w:rsid w:val="65F77EA2"/>
    <w:rsid w:val="662E1B7A"/>
    <w:rsid w:val="66476B7B"/>
    <w:rsid w:val="66D67A41"/>
    <w:rsid w:val="66F066D4"/>
    <w:rsid w:val="671220D3"/>
    <w:rsid w:val="67473418"/>
    <w:rsid w:val="680F1E0F"/>
    <w:rsid w:val="68150768"/>
    <w:rsid w:val="681F3216"/>
    <w:rsid w:val="68BA4E6C"/>
    <w:rsid w:val="68D67545"/>
    <w:rsid w:val="696C43B8"/>
    <w:rsid w:val="69E45863"/>
    <w:rsid w:val="6A0455EA"/>
    <w:rsid w:val="6A3B5729"/>
    <w:rsid w:val="6A5F058E"/>
    <w:rsid w:val="6A7230F4"/>
    <w:rsid w:val="6AB04778"/>
    <w:rsid w:val="6B032AFA"/>
    <w:rsid w:val="6B1A7FBB"/>
    <w:rsid w:val="6C0B3E21"/>
    <w:rsid w:val="6CB22A29"/>
    <w:rsid w:val="6CB273CD"/>
    <w:rsid w:val="6CD636D1"/>
    <w:rsid w:val="6D42279F"/>
    <w:rsid w:val="6D5C3A9A"/>
    <w:rsid w:val="6E776AA0"/>
    <w:rsid w:val="6E8D5B1F"/>
    <w:rsid w:val="6ECB2C88"/>
    <w:rsid w:val="6F431486"/>
    <w:rsid w:val="6FAB1E15"/>
    <w:rsid w:val="6FD6690C"/>
    <w:rsid w:val="703328EB"/>
    <w:rsid w:val="727F5414"/>
    <w:rsid w:val="729A4E44"/>
    <w:rsid w:val="73191466"/>
    <w:rsid w:val="73621237"/>
    <w:rsid w:val="739C299A"/>
    <w:rsid w:val="73AD3F4B"/>
    <w:rsid w:val="73CB1A0F"/>
    <w:rsid w:val="744D7869"/>
    <w:rsid w:val="749573EE"/>
    <w:rsid w:val="74D62C03"/>
    <w:rsid w:val="74F16FC8"/>
    <w:rsid w:val="75032465"/>
    <w:rsid w:val="75BC1A9B"/>
    <w:rsid w:val="75E12BAC"/>
    <w:rsid w:val="768C0CCE"/>
    <w:rsid w:val="76DD1BAC"/>
    <w:rsid w:val="774E77F3"/>
    <w:rsid w:val="777E745A"/>
    <w:rsid w:val="77AB353A"/>
    <w:rsid w:val="77BC65FA"/>
    <w:rsid w:val="77F72EC5"/>
    <w:rsid w:val="77FD4F13"/>
    <w:rsid w:val="7888577A"/>
    <w:rsid w:val="78EA4108"/>
    <w:rsid w:val="78F47F26"/>
    <w:rsid w:val="79325328"/>
    <w:rsid w:val="79914BA5"/>
    <w:rsid w:val="7A56779D"/>
    <w:rsid w:val="7A7A10EC"/>
    <w:rsid w:val="7AA965F6"/>
    <w:rsid w:val="7AC31E19"/>
    <w:rsid w:val="7AD701AD"/>
    <w:rsid w:val="7AFD045E"/>
    <w:rsid w:val="7BFB7CC2"/>
    <w:rsid w:val="7C0F0BB5"/>
    <w:rsid w:val="7CAD7FAA"/>
    <w:rsid w:val="7D653826"/>
    <w:rsid w:val="7DA70411"/>
    <w:rsid w:val="7DF26607"/>
    <w:rsid w:val="7E0359AE"/>
    <w:rsid w:val="7E452EBB"/>
    <w:rsid w:val="7E4E09FF"/>
    <w:rsid w:val="7E6C6F4E"/>
    <w:rsid w:val="7E6D055E"/>
    <w:rsid w:val="7F5D5BBA"/>
    <w:rsid w:val="7FA51DE9"/>
    <w:rsid w:val="7FB566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rPr>
  </w:style>
  <w:style w:type="character" w:styleId="7">
    <w:name w:val="Strong"/>
    <w:basedOn w:val="6"/>
    <w:qFormat/>
    <w:uiPriority w:val="0"/>
    <w:rPr>
      <w:b/>
    </w:rPr>
  </w:style>
  <w:style w:type="character" w:styleId="8">
    <w:name w:val="page number"/>
    <w:qFormat/>
    <w:uiPriority w:val="0"/>
  </w:style>
  <w:style w:type="character" w:styleId="9">
    <w:name w:val="FollowedHyperlink"/>
    <w:basedOn w:val="6"/>
    <w:qFormat/>
    <w:uiPriority w:val="0"/>
    <w:rPr>
      <w:color w:val="333333"/>
      <w:u w:val="none"/>
    </w:rPr>
  </w:style>
  <w:style w:type="character" w:styleId="10">
    <w:name w:val="Hyperlink"/>
    <w:basedOn w:val="6"/>
    <w:qFormat/>
    <w:uiPriority w:val="0"/>
    <w:rPr>
      <w:color w:val="333333"/>
      <w:u w:val="none"/>
    </w:rPr>
  </w:style>
  <w:style w:type="paragraph" w:customStyle="1" w:styleId="11">
    <w:name w:val="Char Char Char Char Char Char Char Char Char Char Char Char"/>
    <w:basedOn w:val="1"/>
    <w:qFormat/>
    <w:uiPriority w:val="0"/>
    <w:rPr>
      <w:rFonts w:ascii="宋体" w:hAnsi="宋体" w:cs="Courier New"/>
      <w:sz w:val="32"/>
      <w:szCs w:val="32"/>
    </w:rPr>
  </w:style>
  <w:style w:type="character" w:customStyle="1" w:styleId="12">
    <w:name w:val="commonfont"/>
    <w:basedOn w:val="6"/>
    <w:qFormat/>
    <w:uiPriority w:val="0"/>
  </w:style>
  <w:style w:type="character" w:customStyle="1" w:styleId="13">
    <w:name w:val="commonfont1"/>
    <w:basedOn w:val="6"/>
    <w:qFormat/>
    <w:uiPriority w:val="0"/>
    <w:rPr>
      <w:color w:val="666666"/>
    </w:rPr>
  </w:style>
  <w:style w:type="character" w:customStyle="1" w:styleId="14">
    <w:name w:val="swiper-active-switch"/>
    <w:basedOn w:val="6"/>
    <w:qFormat/>
    <w:uiPriority w:val="0"/>
    <w:rPr>
      <w:shd w:val="clear" w:fill="FF0000"/>
    </w:rPr>
  </w:style>
  <w:style w:type="character" w:customStyle="1" w:styleId="15">
    <w:name w:val="nth-child(1)"/>
    <w:basedOn w:val="6"/>
    <w:qFormat/>
    <w:uiPriority w:val="0"/>
    <w:rPr>
      <w:color w:val="666666"/>
    </w:rPr>
  </w:style>
  <w:style w:type="character" w:customStyle="1" w:styleId="16">
    <w:name w:val="nth-child(1)1"/>
    <w:basedOn w:val="6"/>
    <w:qFormat/>
    <w:uiPriority w:val="0"/>
    <w:rPr>
      <w:color w:val="1D1D1D"/>
    </w:rPr>
  </w:style>
  <w:style w:type="character" w:customStyle="1" w:styleId="17">
    <w:name w:val="nth-child(1)2"/>
    <w:basedOn w:val="6"/>
    <w:qFormat/>
    <w:uiPriority w:val="0"/>
    <w:rPr>
      <w:color w:val="666666"/>
    </w:rPr>
  </w:style>
  <w:style w:type="character" w:customStyle="1" w:styleId="18">
    <w:name w:val="slide-dot-cur"/>
    <w:basedOn w:val="6"/>
    <w:qFormat/>
    <w:uiPriority w:val="0"/>
    <w:rPr>
      <w:shd w:val="clear" w:fill="6B1B55"/>
    </w:rPr>
  </w:style>
  <w:style w:type="character" w:customStyle="1" w:styleId="19">
    <w:name w:val="nth-child(2)"/>
    <w:basedOn w:val="6"/>
    <w:qFormat/>
    <w:uiPriority w:val="0"/>
    <w:rPr>
      <w:color w:val="9F9F9F"/>
    </w:rPr>
  </w:style>
  <w:style w:type="character" w:customStyle="1" w:styleId="20">
    <w:name w:val="nth-child(2)1"/>
    <w:basedOn w:val="6"/>
    <w:qFormat/>
    <w:uiPriority w:val="0"/>
    <w:rPr>
      <w:color w:val="9F9F9F"/>
    </w:rPr>
  </w:style>
  <w:style w:type="character" w:customStyle="1" w:styleId="21">
    <w:name w:val="nth-child(2)2"/>
    <w:basedOn w:val="6"/>
    <w:qFormat/>
    <w:uiPriority w:val="0"/>
    <w:rPr>
      <w:color w:val="9F9F9F"/>
    </w:rPr>
  </w:style>
  <w:style w:type="character" w:customStyle="1" w:styleId="22">
    <w:name w:val="iconfont2"/>
    <w:basedOn w:val="6"/>
    <w:qFormat/>
    <w:uiPriority w:val="0"/>
    <w:rPr>
      <w:color w:val="666666"/>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4517</Words>
  <Characters>4570</Characters>
  <Lines>0</Lines>
  <Paragraphs>0</Paragraphs>
  <TotalTime>49</TotalTime>
  <ScaleCrop>false</ScaleCrop>
  <LinksUpToDate>false</LinksUpToDate>
  <CharactersWithSpaces>4570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2022-06-09T03:18:00Z</dcterms:created>
  <dc:creator>刘东琪</dc:creator>
  <cp:lastModifiedBy>刘东琪</cp:lastModifiedBy>
  <cp:lastPrinted>2022-08-03T07:03:00Z</cp:lastPrinted>
  <dcterms:modified xsi:type="dcterms:W3CDTF">2022-08-03T08:01:07Z</dcterms:modified>
  <dc:title>关于西城区2021年度财政预算执行和其他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5D2CB7564E804114B5F5DC9F80F53968</vt:lpwstr>
  </property>
</Properties>
</file>