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val="0"/>
        <w:spacing w:line="680" w:lineRule="exact"/>
        <w:jc w:val="center"/>
        <w:textAlignment w:val="auto"/>
        <w:rPr>
          <w:rFonts w:hint="eastAsia" w:ascii="宋体" w:hAnsi="宋体" w:eastAsia="方正小标宋简体"/>
          <w:b w:val="0"/>
          <w:bCs w:val="0"/>
          <w:color w:val="000000"/>
          <w:sz w:val="44"/>
          <w:szCs w:val="44"/>
          <w:lang w:val="zh-CN"/>
        </w:rPr>
      </w:pPr>
      <w:bookmarkStart w:id="0" w:name="_GoBack"/>
      <w:r>
        <w:rPr>
          <w:rFonts w:hint="eastAsia" w:ascii="宋体" w:hAnsi="宋体" w:eastAsia="方正小标宋简体"/>
          <w:b w:val="0"/>
          <w:bCs w:val="0"/>
          <w:color w:val="000000"/>
          <w:sz w:val="44"/>
          <w:szCs w:val="44"/>
          <w:lang w:val="zh-CN"/>
        </w:rPr>
        <w:t>关于西城区20</w:t>
      </w:r>
      <w:r>
        <w:rPr>
          <w:rFonts w:hint="eastAsia" w:ascii="宋体" w:hAnsi="宋体" w:eastAsia="方正小标宋简体"/>
          <w:b w:val="0"/>
          <w:bCs w:val="0"/>
          <w:color w:val="000000"/>
          <w:sz w:val="44"/>
          <w:szCs w:val="44"/>
        </w:rPr>
        <w:t>2</w:t>
      </w:r>
      <w:r>
        <w:rPr>
          <w:rFonts w:hint="eastAsia" w:ascii="宋体" w:hAnsi="宋体" w:eastAsia="方正小标宋简体"/>
          <w:b w:val="0"/>
          <w:bCs w:val="0"/>
          <w:color w:val="000000"/>
          <w:sz w:val="44"/>
          <w:szCs w:val="44"/>
          <w:lang w:val="en-US" w:eastAsia="zh-CN"/>
        </w:rPr>
        <w:t>1</w:t>
      </w:r>
      <w:r>
        <w:rPr>
          <w:rFonts w:hint="eastAsia" w:ascii="宋体" w:hAnsi="宋体" w:eastAsia="方正小标宋简体"/>
          <w:b w:val="0"/>
          <w:bCs w:val="0"/>
          <w:color w:val="000000"/>
          <w:sz w:val="44"/>
          <w:szCs w:val="44"/>
          <w:lang w:val="zh-CN"/>
        </w:rPr>
        <w:t>年</w:t>
      </w:r>
      <w:r>
        <w:rPr>
          <w:rFonts w:hint="eastAsia" w:ascii="宋体" w:hAnsi="宋体" w:eastAsia="方正小标宋简体"/>
          <w:b w:val="0"/>
          <w:bCs w:val="0"/>
          <w:color w:val="000000"/>
          <w:sz w:val="44"/>
          <w:szCs w:val="44"/>
        </w:rPr>
        <w:t>度</w:t>
      </w:r>
      <w:r>
        <w:rPr>
          <w:rFonts w:hint="eastAsia" w:ascii="宋体" w:hAnsi="宋体" w:eastAsia="方正小标宋简体"/>
          <w:b w:val="0"/>
          <w:bCs w:val="0"/>
          <w:color w:val="000000"/>
          <w:sz w:val="44"/>
          <w:szCs w:val="44"/>
          <w:lang w:val="zh-CN"/>
        </w:rPr>
        <w:t>财政预算执行和其他</w:t>
      </w:r>
    </w:p>
    <w:p>
      <w:pPr>
        <w:pStyle w:val="11"/>
        <w:keepNext w:val="0"/>
        <w:keepLines w:val="0"/>
        <w:pageBreakBefore w:val="0"/>
        <w:widowControl/>
        <w:kinsoku/>
        <w:wordWrap/>
        <w:overflowPunct/>
        <w:topLinePunct w:val="0"/>
        <w:autoSpaceDE/>
        <w:autoSpaceDN/>
        <w:bidi w:val="0"/>
        <w:adjustRightInd/>
        <w:snapToGrid w:val="0"/>
        <w:spacing w:line="680" w:lineRule="exact"/>
        <w:jc w:val="center"/>
        <w:textAlignment w:val="auto"/>
        <w:rPr>
          <w:rFonts w:hint="eastAsia" w:ascii="宋体" w:hAnsi="宋体" w:eastAsia="方正小标宋简体"/>
          <w:b w:val="0"/>
          <w:bCs w:val="0"/>
          <w:color w:val="000000"/>
          <w:sz w:val="44"/>
          <w:szCs w:val="44"/>
          <w:lang w:val="zh-CN"/>
        </w:rPr>
      </w:pPr>
      <w:r>
        <w:rPr>
          <w:rFonts w:hint="eastAsia" w:ascii="宋体" w:hAnsi="宋体" w:eastAsia="方正小标宋简体"/>
          <w:b w:val="0"/>
          <w:bCs w:val="0"/>
          <w:color w:val="000000"/>
          <w:sz w:val="44"/>
          <w:szCs w:val="44"/>
          <w:lang w:val="zh-CN"/>
        </w:rPr>
        <w:t>财政收支情况的审计工作报告解读</w:t>
      </w:r>
    </w:p>
    <w:bookmarkEnd w:id="0"/>
    <w:p>
      <w:pPr>
        <w:keepNext w:val="0"/>
        <w:keepLines w:val="0"/>
        <w:pageBreakBefore w:val="0"/>
        <w:widowControl/>
        <w:kinsoku/>
        <w:wordWrap/>
        <w:overflowPunct/>
        <w:topLinePunct w:val="0"/>
        <w:autoSpaceDE/>
        <w:autoSpaceDN/>
        <w:bidi w:val="0"/>
        <w:adjustRightInd/>
        <w:snapToGrid w:val="0"/>
        <w:spacing w:line="560" w:lineRule="exact"/>
        <w:textAlignment w:val="auto"/>
        <w:rPr>
          <w:rFonts w:hint="eastAsia" w:ascii="宋体" w:hAnsi="宋体" w:eastAsia="仿宋_GB2312" w:cs="Times New Roman"/>
          <w:b w:val="0"/>
          <w:bCs w:val="0"/>
          <w:color w:val="auto"/>
          <w:sz w:val="32"/>
          <w:szCs w:val="32"/>
          <w:highlight w:val="none"/>
          <w:u w:val="none"/>
          <w:lang w:val="zh-CN"/>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Times New Roman"/>
          <w:b w:val="0"/>
          <w:bCs w:val="0"/>
          <w:color w:val="auto"/>
          <w:sz w:val="32"/>
          <w:szCs w:val="32"/>
          <w:highlight w:val="none"/>
          <w:u w:val="none"/>
          <w:lang w:val="en-US" w:eastAsia="zh-CN"/>
        </w:rPr>
      </w:pPr>
      <w:r>
        <w:rPr>
          <w:rFonts w:hint="eastAsia" w:ascii="宋体" w:hAnsi="宋体" w:eastAsia="仿宋_GB2312" w:cs="Times New Roman"/>
          <w:b w:val="0"/>
          <w:bCs w:val="0"/>
          <w:color w:val="auto"/>
          <w:sz w:val="32"/>
          <w:szCs w:val="32"/>
          <w:highlight w:val="none"/>
          <w:u w:val="none"/>
          <w:lang w:val="en-US" w:eastAsia="zh-CN"/>
        </w:rPr>
        <w:t>7</w:t>
      </w:r>
      <w:r>
        <w:rPr>
          <w:rFonts w:hint="eastAsia" w:ascii="宋体" w:hAnsi="宋体" w:eastAsia="仿宋_GB2312" w:cs="Times New Roman"/>
          <w:b w:val="0"/>
          <w:bCs w:val="0"/>
          <w:color w:val="auto"/>
          <w:sz w:val="32"/>
          <w:szCs w:val="32"/>
          <w:highlight w:val="none"/>
          <w:u w:val="none"/>
          <w:lang w:val="zh-CN"/>
        </w:rPr>
        <w:t>月</w:t>
      </w:r>
      <w:r>
        <w:rPr>
          <w:rFonts w:hint="eastAsia" w:ascii="宋体" w:hAnsi="宋体" w:eastAsia="仿宋_GB2312" w:cs="Times New Roman"/>
          <w:b w:val="0"/>
          <w:bCs w:val="0"/>
          <w:color w:val="auto"/>
          <w:sz w:val="32"/>
          <w:szCs w:val="32"/>
          <w:highlight w:val="none"/>
          <w:u w:val="none"/>
          <w:lang w:val="en-US" w:eastAsia="zh-CN"/>
        </w:rPr>
        <w:t>28</w:t>
      </w:r>
      <w:r>
        <w:rPr>
          <w:rFonts w:hint="eastAsia" w:ascii="宋体" w:hAnsi="宋体" w:eastAsia="仿宋_GB2312" w:cs="Times New Roman"/>
          <w:b w:val="0"/>
          <w:bCs w:val="0"/>
          <w:color w:val="auto"/>
          <w:sz w:val="32"/>
          <w:szCs w:val="32"/>
          <w:highlight w:val="none"/>
          <w:u w:val="none"/>
          <w:lang w:val="zh-CN"/>
        </w:rPr>
        <w:t>日，受区政府委托，区审计局局长吕青波向区十七届人大常委会第五次会议作了《关于西城区2021年度财政预算执行和其他财政收支情况的审计工作报告》。</w:t>
      </w:r>
      <w:r>
        <w:rPr>
          <w:rFonts w:hint="eastAsia" w:ascii="宋体" w:hAnsi="宋体" w:eastAsia="仿宋_GB2312" w:cs="Times New Roman"/>
          <w:b w:val="0"/>
          <w:bCs w:val="0"/>
          <w:color w:val="auto"/>
          <w:sz w:val="32"/>
          <w:szCs w:val="32"/>
          <w:highlight w:val="none"/>
          <w:u w:val="none"/>
          <w:lang w:val="en-US" w:eastAsia="zh-CN"/>
        </w:rPr>
        <w:t>一年来，审计工作坚持以习近平新时代中国特色社会主义思想为指导，全面贯彻习近平总书记关于审计工作的重要讲话和重要指示批示精神，认真落实区委全会和全市审计工作会要求，贯彻落实区委审计委员会工作部署，突出体现审计工作政治功能，推动统筹发展与安全，坚持稳中求进的总基调。进一步推动审计整改落实，发挥“治已病、防未病”作用。反映在今年审计工作报告中，主要体现为以下3个方面：</w:t>
      </w:r>
    </w:p>
    <w:p>
      <w:pPr>
        <w:pStyle w:val="11"/>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Times New Roman"/>
          <w:b w:val="0"/>
          <w:bCs w:val="0"/>
          <w:color w:val="auto"/>
          <w:sz w:val="32"/>
          <w:szCs w:val="32"/>
          <w:highlight w:val="none"/>
          <w:u w:val="none"/>
          <w:lang w:val="en-US" w:eastAsia="zh-CN"/>
        </w:rPr>
      </w:pPr>
      <w:r>
        <w:rPr>
          <w:rFonts w:hint="eastAsia" w:eastAsia="黑体" w:cs="黑体"/>
          <w:b w:val="0"/>
          <w:bCs w:val="0"/>
          <w:color w:val="auto"/>
          <w:sz w:val="32"/>
          <w:szCs w:val="32"/>
          <w:highlight w:val="none"/>
          <w:u w:val="none"/>
          <w:lang w:val="en-US" w:eastAsia="zh-CN"/>
        </w:rPr>
        <w:t>一、</w:t>
      </w:r>
      <w:r>
        <w:rPr>
          <w:rFonts w:hint="eastAsia" w:ascii="宋体" w:hAnsi="宋体" w:eastAsia="黑体" w:cs="黑体"/>
          <w:b w:val="0"/>
          <w:bCs w:val="0"/>
          <w:color w:val="auto"/>
          <w:sz w:val="32"/>
          <w:szCs w:val="32"/>
          <w:highlight w:val="none"/>
          <w:u w:val="none"/>
          <w:lang w:val="en-US" w:eastAsia="zh-CN"/>
        </w:rPr>
        <w:t>树牢政治机关意识，围绕中心服务大局</w:t>
      </w:r>
    </w:p>
    <w:p>
      <w:pPr>
        <w:pStyle w:val="11"/>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eastAsia="仿宋_GB2312" w:cs="Times New Roman"/>
          <w:b w:val="0"/>
          <w:bCs w:val="0"/>
          <w:color w:val="auto"/>
          <w:sz w:val="32"/>
          <w:szCs w:val="32"/>
          <w:highlight w:val="none"/>
          <w:u w:val="none"/>
          <w:lang w:val="en-US" w:eastAsia="zh-CN"/>
        </w:rPr>
      </w:pPr>
      <w:r>
        <w:rPr>
          <w:rFonts w:hint="eastAsia" w:eastAsia="仿宋_GB2312" w:cs="Times New Roman"/>
          <w:b w:val="0"/>
          <w:bCs w:val="0"/>
          <w:color w:val="auto"/>
          <w:sz w:val="32"/>
          <w:szCs w:val="32"/>
          <w:highlight w:val="none"/>
          <w:u w:val="none"/>
          <w:lang w:val="en-US" w:eastAsia="zh-CN"/>
        </w:rPr>
        <w:t>始终把加强党的领导落实贯穿到审计工作全过程，抓住“十四五”西城区审计工作发展规划实施、年度审计计划管理、审计整改等关键环节，</w:t>
      </w:r>
      <w:r>
        <w:rPr>
          <w:rFonts w:hint="eastAsia" w:ascii="宋体" w:hAnsi="宋体" w:eastAsia="仿宋_GB2312" w:cs="Times New Roman"/>
          <w:b w:val="0"/>
          <w:bCs w:val="0"/>
          <w:color w:val="auto"/>
          <w:sz w:val="32"/>
          <w:szCs w:val="32"/>
          <w:highlight w:val="none"/>
          <w:u w:val="none"/>
          <w:lang w:val="en-US" w:eastAsia="zh-CN"/>
        </w:rPr>
        <w:t>深入揭示重大经济风险隐患</w:t>
      </w:r>
      <w:r>
        <w:rPr>
          <w:rFonts w:hint="eastAsia" w:eastAsia="仿宋_GB2312" w:cs="Times New Roman"/>
          <w:b w:val="0"/>
          <w:bCs w:val="0"/>
          <w:color w:val="auto"/>
          <w:sz w:val="32"/>
          <w:szCs w:val="32"/>
          <w:highlight w:val="none"/>
          <w:u w:val="none"/>
          <w:lang w:val="en-US" w:eastAsia="zh-CN"/>
        </w:rPr>
        <w:t>，</w:t>
      </w:r>
      <w:r>
        <w:rPr>
          <w:rFonts w:hint="eastAsia" w:ascii="宋体" w:hAnsi="宋体" w:eastAsia="仿宋_GB2312" w:cs="Times New Roman"/>
          <w:b w:val="0"/>
          <w:bCs w:val="0"/>
          <w:color w:val="auto"/>
          <w:sz w:val="32"/>
          <w:szCs w:val="32"/>
          <w:highlight w:val="none"/>
          <w:u w:val="none"/>
          <w:lang w:val="en-US" w:eastAsia="zh-CN"/>
        </w:rPr>
        <w:t>维护</w:t>
      </w:r>
      <w:r>
        <w:rPr>
          <w:rFonts w:hint="eastAsia" w:eastAsia="仿宋_GB2312" w:cs="Times New Roman"/>
          <w:b w:val="0"/>
          <w:bCs w:val="0"/>
          <w:color w:val="auto"/>
          <w:sz w:val="32"/>
          <w:szCs w:val="32"/>
          <w:highlight w:val="none"/>
          <w:u w:val="none"/>
          <w:lang w:val="en-US" w:eastAsia="zh-CN"/>
        </w:rPr>
        <w:t>区域</w:t>
      </w:r>
      <w:r>
        <w:rPr>
          <w:rFonts w:hint="eastAsia" w:ascii="宋体" w:hAnsi="宋体" w:eastAsia="仿宋_GB2312" w:cs="Times New Roman"/>
          <w:b w:val="0"/>
          <w:bCs w:val="0"/>
          <w:color w:val="auto"/>
          <w:sz w:val="32"/>
          <w:szCs w:val="32"/>
          <w:highlight w:val="none"/>
          <w:u w:val="none"/>
          <w:lang w:val="en-US" w:eastAsia="zh-CN"/>
        </w:rPr>
        <w:t>经济安全</w:t>
      </w:r>
      <w:r>
        <w:rPr>
          <w:rFonts w:hint="eastAsia" w:eastAsia="仿宋_GB2312" w:cs="Times New Roman"/>
          <w:b w:val="0"/>
          <w:bCs w:val="0"/>
          <w:color w:val="auto"/>
          <w:sz w:val="32"/>
          <w:szCs w:val="32"/>
          <w:highlight w:val="none"/>
          <w:u w:val="none"/>
          <w:lang w:val="en-US" w:eastAsia="zh-CN"/>
        </w:rPr>
        <w:t>。深入落实</w:t>
      </w:r>
      <w:r>
        <w:rPr>
          <w:rFonts w:hint="eastAsia" w:ascii="宋体" w:hAnsi="宋体" w:eastAsia="仿宋_GB2312" w:cs="Times New Roman"/>
          <w:b w:val="0"/>
          <w:bCs w:val="0"/>
          <w:color w:val="auto"/>
          <w:sz w:val="32"/>
          <w:szCs w:val="32"/>
          <w:highlight w:val="none"/>
          <w:u w:val="none"/>
          <w:lang w:val="en-US" w:eastAsia="zh-CN"/>
        </w:rPr>
        <w:t>首都功能核心区战略定位</w:t>
      </w:r>
      <w:r>
        <w:rPr>
          <w:rFonts w:hint="eastAsia" w:eastAsia="仿宋_GB2312" w:cs="Times New Roman"/>
          <w:b w:val="0"/>
          <w:bCs w:val="0"/>
          <w:color w:val="auto"/>
          <w:sz w:val="32"/>
          <w:szCs w:val="32"/>
          <w:highlight w:val="none"/>
          <w:u w:val="none"/>
          <w:lang w:val="en-US" w:eastAsia="zh-CN"/>
        </w:rPr>
        <w:t>，</w:t>
      </w:r>
      <w:r>
        <w:rPr>
          <w:rFonts w:hint="eastAsia" w:ascii="宋体" w:hAnsi="宋体" w:eastAsia="仿宋_GB2312" w:cs="Times New Roman"/>
          <w:b w:val="0"/>
          <w:bCs w:val="0"/>
          <w:color w:val="auto"/>
          <w:sz w:val="32"/>
          <w:szCs w:val="32"/>
          <w:highlight w:val="none"/>
          <w:u w:val="none"/>
          <w:lang w:val="en-US" w:eastAsia="zh-CN"/>
        </w:rPr>
        <w:t>聚焦统筹疫情防控和经济社会发展</w:t>
      </w:r>
      <w:r>
        <w:rPr>
          <w:rFonts w:hint="eastAsia" w:eastAsia="仿宋_GB2312" w:cs="Times New Roman"/>
          <w:b w:val="0"/>
          <w:bCs w:val="0"/>
          <w:dstrike w:val="0"/>
          <w:color w:val="auto"/>
          <w:sz w:val="32"/>
          <w:szCs w:val="32"/>
          <w:highlight w:val="none"/>
          <w:u w:val="none"/>
          <w:lang w:val="en-US" w:eastAsia="zh-CN"/>
        </w:rPr>
        <w:t>，</w:t>
      </w:r>
      <w:r>
        <w:rPr>
          <w:rFonts w:hint="eastAsia" w:ascii="宋体" w:hAnsi="宋体" w:eastAsia="仿宋_GB2312" w:cs="Times New Roman"/>
          <w:b w:val="0"/>
          <w:bCs w:val="0"/>
          <w:color w:val="auto"/>
          <w:sz w:val="32"/>
          <w:szCs w:val="32"/>
          <w:highlight w:val="none"/>
          <w:u w:val="none"/>
          <w:lang w:val="en-US" w:eastAsia="zh-CN"/>
        </w:rPr>
        <w:t>坚持通过开展常态化“经济体检”，保障财政资金安全</w:t>
      </w:r>
      <w:r>
        <w:rPr>
          <w:rFonts w:hint="eastAsia" w:eastAsia="仿宋_GB2312" w:cs="Times New Roman"/>
          <w:b w:val="0"/>
          <w:bCs w:val="0"/>
          <w:color w:val="auto"/>
          <w:sz w:val="32"/>
          <w:szCs w:val="32"/>
          <w:highlight w:val="none"/>
          <w:u w:val="none"/>
          <w:lang w:val="en-US" w:eastAsia="zh-CN"/>
        </w:rPr>
        <w:t>。</w:t>
      </w:r>
      <w:r>
        <w:rPr>
          <w:rFonts w:hint="eastAsia" w:eastAsia="仿宋_GB2312" w:cs="Times New Roman"/>
          <w:b w:val="0"/>
          <w:bCs w:val="0"/>
          <w:color w:val="auto"/>
          <w:highlight w:val="none"/>
          <w:u w:val="none"/>
        </w:rPr>
        <w:t>发挥审计监督作用，</w:t>
      </w:r>
      <w:r>
        <w:rPr>
          <w:rFonts w:hint="eastAsia" w:eastAsia="仿宋_GB2312" w:cs="Times New Roman"/>
          <w:b w:val="0"/>
          <w:bCs w:val="0"/>
          <w:color w:val="auto"/>
          <w:sz w:val="32"/>
          <w:szCs w:val="32"/>
          <w:highlight w:val="none"/>
          <w:u w:val="none"/>
          <w:lang w:val="en-US" w:eastAsia="zh-CN"/>
        </w:rPr>
        <w:t>推动落实“过紧日子”要求、推进城市精细化治理、促进</w:t>
      </w:r>
      <w:r>
        <w:rPr>
          <w:rFonts w:hint="eastAsia" w:ascii="宋体" w:hAnsi="宋体" w:eastAsia="仿宋_GB2312" w:cs="Times New Roman"/>
          <w:b w:val="0"/>
          <w:bCs w:val="0"/>
          <w:color w:val="auto"/>
          <w:sz w:val="32"/>
          <w:szCs w:val="32"/>
          <w:highlight w:val="none"/>
          <w:u w:val="none"/>
          <w:lang w:val="en-US" w:eastAsia="zh-CN"/>
        </w:rPr>
        <w:t>街道财政管理</w:t>
      </w:r>
      <w:r>
        <w:rPr>
          <w:rFonts w:hint="eastAsia" w:eastAsia="仿宋_GB2312" w:cs="Times New Roman"/>
          <w:b w:val="0"/>
          <w:bCs w:val="0"/>
          <w:color w:val="auto"/>
          <w:sz w:val="32"/>
          <w:szCs w:val="32"/>
          <w:highlight w:val="none"/>
          <w:u w:val="none"/>
          <w:lang w:val="en-US" w:eastAsia="zh-CN"/>
        </w:rPr>
        <w:t>优化。</w:t>
      </w:r>
    </w:p>
    <w:p>
      <w:pPr>
        <w:pStyle w:val="11"/>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黑体" w:cs="黑体"/>
          <w:b w:val="0"/>
          <w:bCs w:val="0"/>
          <w:color w:val="auto"/>
          <w:sz w:val="32"/>
          <w:szCs w:val="32"/>
          <w:highlight w:val="none"/>
          <w:u w:val="none"/>
          <w:lang w:val="en-US" w:eastAsia="zh-CN"/>
        </w:rPr>
      </w:pPr>
      <w:r>
        <w:rPr>
          <w:rFonts w:hint="eastAsia" w:ascii="宋体" w:hAnsi="宋体" w:eastAsia="黑体" w:cs="黑体"/>
          <w:b w:val="0"/>
          <w:bCs w:val="0"/>
          <w:color w:val="auto"/>
          <w:sz w:val="32"/>
          <w:szCs w:val="32"/>
          <w:highlight w:val="none"/>
          <w:u w:val="none"/>
          <w:lang w:val="en-US" w:eastAsia="zh-CN"/>
        </w:rPr>
        <w:t>二、聚焦主责主业，持续推进审计全覆盖</w:t>
      </w:r>
    </w:p>
    <w:p>
      <w:pPr>
        <w:pStyle w:val="11"/>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Times New Roman"/>
          <w:b w:val="0"/>
          <w:bCs w:val="0"/>
          <w:color w:val="auto"/>
          <w:sz w:val="32"/>
          <w:szCs w:val="32"/>
          <w:highlight w:val="green"/>
          <w:u w:val="none"/>
          <w:lang w:val="en-US" w:eastAsia="zh-CN"/>
        </w:rPr>
      </w:pPr>
      <w:r>
        <w:rPr>
          <w:rFonts w:hint="eastAsia" w:eastAsia="仿宋_GB2312" w:cs="Times New Roman"/>
          <w:b w:val="0"/>
          <w:bCs w:val="0"/>
          <w:color w:val="auto"/>
          <w:sz w:val="32"/>
          <w:szCs w:val="32"/>
          <w:highlight w:val="none"/>
          <w:u w:val="none"/>
          <w:lang w:val="en-US" w:eastAsia="zh-CN"/>
        </w:rPr>
        <w:t>坚持</w:t>
      </w:r>
      <w:r>
        <w:rPr>
          <w:rFonts w:hint="eastAsia" w:ascii="宋体" w:hAnsi="宋体" w:eastAsia="仿宋_GB2312" w:cs="Times New Roman"/>
          <w:b w:val="0"/>
          <w:bCs w:val="0"/>
          <w:color w:val="auto"/>
          <w:sz w:val="32"/>
          <w:szCs w:val="32"/>
          <w:highlight w:val="none"/>
          <w:u w:val="none"/>
          <w:lang w:val="en-US" w:eastAsia="zh-CN"/>
        </w:rPr>
        <w:t>立足“审计监督首先是经济监督”定位</w:t>
      </w:r>
      <w:r>
        <w:rPr>
          <w:rFonts w:hint="eastAsia" w:eastAsia="仿宋_GB2312" w:cs="Times New Roman"/>
          <w:b w:val="0"/>
          <w:bCs w:val="0"/>
          <w:color w:val="auto"/>
          <w:sz w:val="32"/>
          <w:szCs w:val="32"/>
          <w:highlight w:val="none"/>
          <w:u w:val="none"/>
          <w:lang w:val="en-US" w:eastAsia="zh-CN"/>
        </w:rPr>
        <w:t>，聚焦财政财务收支真实合法效益主责主业，切实做好新修订《审计法》实施工作。践行科技强审理念，将</w:t>
      </w:r>
      <w:r>
        <w:rPr>
          <w:rFonts w:hint="eastAsia" w:ascii="仿宋_GB2312" w:hAnsi="仿宋_GB2312" w:eastAsia="仿宋_GB2312" w:cs="仿宋_GB2312"/>
          <w:b w:val="0"/>
          <w:bCs w:val="0"/>
          <w:sz w:val="32"/>
          <w:szCs w:val="32"/>
        </w:rPr>
        <w:t>数据</w:t>
      </w:r>
      <w:r>
        <w:rPr>
          <w:rFonts w:hint="eastAsia" w:ascii="仿宋_GB2312" w:hAnsi="仿宋_GB2312" w:eastAsia="仿宋_GB2312" w:cs="仿宋_GB2312"/>
          <w:b w:val="0"/>
          <w:bCs w:val="0"/>
          <w:sz w:val="32"/>
          <w:szCs w:val="32"/>
          <w:lang w:eastAsia="zh-CN"/>
        </w:rPr>
        <w:t>分析</w:t>
      </w:r>
      <w:r>
        <w:rPr>
          <w:rFonts w:hint="eastAsia" w:ascii="仿宋_GB2312" w:hAnsi="仿宋_GB2312" w:eastAsia="仿宋_GB2312" w:cs="仿宋_GB2312"/>
          <w:b w:val="0"/>
          <w:bCs w:val="0"/>
          <w:sz w:val="32"/>
          <w:szCs w:val="32"/>
        </w:rPr>
        <w:t>审计</w:t>
      </w:r>
      <w:r>
        <w:rPr>
          <w:rFonts w:hint="eastAsia" w:ascii="仿宋_GB2312" w:hAnsi="仿宋_GB2312" w:eastAsia="仿宋_GB2312" w:cs="仿宋_GB2312"/>
          <w:b w:val="0"/>
          <w:bCs w:val="0"/>
          <w:sz w:val="32"/>
          <w:szCs w:val="32"/>
          <w:lang w:eastAsia="zh-CN"/>
        </w:rPr>
        <w:t>和现场实施审计相结合，持续</w:t>
      </w:r>
      <w:r>
        <w:rPr>
          <w:rFonts w:hint="eastAsia" w:eastAsia="仿宋_GB2312" w:cs="Times New Roman"/>
          <w:b w:val="0"/>
          <w:bCs w:val="0"/>
          <w:color w:val="auto"/>
          <w:sz w:val="32"/>
          <w:szCs w:val="32"/>
          <w:highlight w:val="none"/>
          <w:u w:val="none"/>
          <w:lang w:val="en-US" w:eastAsia="zh-CN"/>
        </w:rPr>
        <w:t>推进预算执行审计全覆盖。聚焦区委区政府中心工作，</w:t>
      </w:r>
      <w:r>
        <w:rPr>
          <w:rFonts w:hint="eastAsia" w:ascii="仿宋_GB2312" w:hAnsi="仿宋_GB2312" w:eastAsia="仿宋_GB2312" w:cs="仿宋_GB2312"/>
          <w:b w:val="0"/>
          <w:bCs w:val="0"/>
          <w:sz w:val="32"/>
          <w:szCs w:val="32"/>
          <w:lang w:eastAsia="zh-CN"/>
        </w:rPr>
        <w:t>着重提升对</w:t>
      </w:r>
      <w:r>
        <w:rPr>
          <w:rFonts w:hint="eastAsia" w:ascii="仿宋_GB2312" w:hAnsi="仿宋_GB2312" w:eastAsia="仿宋_GB2312" w:cs="仿宋_GB2312"/>
          <w:b w:val="0"/>
          <w:bCs w:val="0"/>
        </w:rPr>
        <w:t>重大任务、重点项目和重要资金</w:t>
      </w:r>
      <w:r>
        <w:rPr>
          <w:rFonts w:hint="eastAsia" w:ascii="仿宋_GB2312" w:hAnsi="仿宋_GB2312" w:eastAsia="仿宋_GB2312" w:cs="仿宋_GB2312"/>
          <w:b w:val="0"/>
          <w:bCs w:val="0"/>
          <w:lang w:eastAsia="zh-CN"/>
        </w:rPr>
        <w:t>的审计质量</w:t>
      </w:r>
      <w:r>
        <w:rPr>
          <w:rFonts w:hint="eastAsia" w:eastAsia="仿宋_GB2312" w:cs="Times New Roman"/>
          <w:b w:val="0"/>
          <w:bCs w:val="0"/>
          <w:color w:val="auto"/>
          <w:sz w:val="32"/>
          <w:szCs w:val="32"/>
          <w:highlight w:val="none"/>
          <w:u w:val="none"/>
          <w:lang w:val="en-US" w:eastAsia="zh-CN"/>
        </w:rPr>
        <w:t>。</w:t>
      </w:r>
      <w:r>
        <w:rPr>
          <w:rFonts w:hint="eastAsia" w:ascii="宋体" w:hAnsi="宋体" w:eastAsia="仿宋_GB2312" w:cs="Times New Roman"/>
          <w:b w:val="0"/>
          <w:bCs w:val="0"/>
          <w:color w:val="auto"/>
          <w:sz w:val="32"/>
          <w:szCs w:val="32"/>
          <w:highlight w:val="none"/>
          <w:u w:val="none"/>
          <w:lang w:val="en-US" w:eastAsia="zh-CN"/>
        </w:rPr>
        <w:t>通过审计反映财政政策落实、预算执行进度、资金管理绩效等情况，查处违法违规问题，</w:t>
      </w:r>
      <w:r>
        <w:rPr>
          <w:rFonts w:hint="eastAsia" w:eastAsia="仿宋_GB2312" w:cs="Times New Roman"/>
          <w:b w:val="0"/>
          <w:bCs w:val="0"/>
          <w:color w:val="auto"/>
          <w:sz w:val="32"/>
          <w:szCs w:val="32"/>
          <w:highlight w:val="none"/>
          <w:u w:val="none"/>
          <w:lang w:val="en-US" w:eastAsia="zh-CN"/>
        </w:rPr>
        <w:t>维护财经纪律严肃性。持续开展重大政策</w:t>
      </w:r>
      <w:r>
        <w:rPr>
          <w:rFonts w:hint="eastAsia" w:eastAsia="仿宋_GB2312" w:cs="Times New Roman"/>
          <w:b w:val="0"/>
          <w:bCs w:val="0"/>
          <w:dstrike w:val="0"/>
          <w:color w:val="auto"/>
          <w:sz w:val="32"/>
          <w:szCs w:val="32"/>
          <w:highlight w:val="none"/>
          <w:u w:val="none"/>
          <w:lang w:val="en-US" w:eastAsia="zh-CN"/>
        </w:rPr>
        <w:t>措施</w:t>
      </w:r>
      <w:r>
        <w:rPr>
          <w:rFonts w:hint="eastAsia" w:eastAsia="仿宋_GB2312" w:cs="Times New Roman"/>
          <w:b w:val="0"/>
          <w:bCs w:val="0"/>
          <w:color w:val="auto"/>
          <w:sz w:val="32"/>
          <w:szCs w:val="32"/>
          <w:highlight w:val="none"/>
          <w:u w:val="none"/>
          <w:lang w:val="en-US" w:eastAsia="zh-CN"/>
        </w:rPr>
        <w:t>落实情况跟踪审计，重点关注常态化财政资金直达机制贯通情况。开展区属国有企业、国有资产审计，</w:t>
      </w:r>
      <w:r>
        <w:rPr>
          <w:rFonts w:hint="eastAsia" w:eastAsia="仿宋_GB2312" w:cs="Times New Roman"/>
          <w:b w:val="0"/>
          <w:bCs w:val="0"/>
          <w:color w:val="auto"/>
          <w:highlight w:val="none"/>
          <w:u w:val="none"/>
          <w:lang w:eastAsia="zh-CN"/>
        </w:rPr>
        <w:t>关注</w:t>
      </w:r>
      <w:r>
        <w:rPr>
          <w:rFonts w:hint="eastAsia" w:eastAsia="仿宋_GB2312" w:cs="Times New Roman"/>
          <w:b w:val="0"/>
          <w:bCs w:val="0"/>
          <w:color w:val="auto"/>
          <w:highlight w:val="none"/>
          <w:u w:val="none"/>
        </w:rPr>
        <w:t>国有企业经营管理</w:t>
      </w:r>
      <w:r>
        <w:rPr>
          <w:rFonts w:hint="eastAsia" w:eastAsia="仿宋_GB2312" w:cs="Times New Roman"/>
          <w:b w:val="0"/>
          <w:bCs w:val="0"/>
          <w:color w:val="auto"/>
          <w:highlight w:val="none"/>
          <w:u w:val="none"/>
          <w:lang w:eastAsia="zh-CN"/>
        </w:rPr>
        <w:t>状况，</w:t>
      </w:r>
      <w:r>
        <w:rPr>
          <w:rFonts w:hint="eastAsia" w:eastAsia="仿宋_GB2312" w:cs="Times New Roman"/>
          <w:b w:val="0"/>
          <w:bCs w:val="0"/>
          <w:color w:val="auto"/>
          <w:highlight w:val="none"/>
          <w:u w:val="none"/>
        </w:rPr>
        <w:t>促进</w:t>
      </w:r>
      <w:r>
        <w:rPr>
          <w:rFonts w:hint="eastAsia" w:eastAsia="仿宋_GB2312" w:cs="Times New Roman"/>
          <w:b w:val="0"/>
          <w:bCs w:val="0"/>
          <w:color w:val="auto"/>
          <w:highlight w:val="none"/>
          <w:u w:val="none"/>
          <w:lang w:eastAsia="zh-CN"/>
        </w:rPr>
        <w:t>区属</w:t>
      </w:r>
      <w:r>
        <w:rPr>
          <w:rFonts w:hint="eastAsia" w:eastAsia="仿宋_GB2312" w:cs="Times New Roman"/>
          <w:b w:val="0"/>
          <w:bCs w:val="0"/>
          <w:color w:val="auto"/>
          <w:highlight w:val="none"/>
          <w:u w:val="none"/>
        </w:rPr>
        <w:t>国有企业健康、可持续发展</w:t>
      </w:r>
      <w:r>
        <w:rPr>
          <w:rFonts w:hint="eastAsia" w:eastAsia="仿宋_GB2312" w:cs="Times New Roman"/>
          <w:b w:val="0"/>
          <w:bCs w:val="0"/>
          <w:color w:val="auto"/>
          <w:sz w:val="32"/>
          <w:szCs w:val="32"/>
          <w:highlight w:val="none"/>
          <w:u w:val="none"/>
          <w:lang w:val="en-US" w:eastAsia="zh-CN"/>
        </w:rPr>
        <w:t>。</w:t>
      </w:r>
    </w:p>
    <w:p>
      <w:pPr>
        <w:pStyle w:val="11"/>
        <w:keepNext w:val="0"/>
        <w:keepLines w:val="0"/>
        <w:pageBreakBefore w:val="0"/>
        <w:widowControl/>
        <w:numPr>
          <w:ilvl w:val="0"/>
          <w:numId w:val="1"/>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黑体" w:cs="黑体"/>
          <w:b w:val="0"/>
          <w:bCs w:val="0"/>
          <w:color w:val="auto"/>
          <w:sz w:val="32"/>
          <w:szCs w:val="32"/>
          <w:highlight w:val="none"/>
          <w:u w:val="none"/>
          <w:lang w:val="en-US" w:eastAsia="zh-CN"/>
        </w:rPr>
      </w:pPr>
      <w:r>
        <w:rPr>
          <w:rFonts w:hint="eastAsia" w:eastAsia="黑体" w:cs="黑体"/>
          <w:b w:val="0"/>
          <w:bCs w:val="0"/>
          <w:color w:val="auto"/>
          <w:sz w:val="32"/>
          <w:szCs w:val="32"/>
          <w:highlight w:val="none"/>
          <w:u w:val="none"/>
          <w:lang w:val="en-US" w:eastAsia="zh-CN"/>
        </w:rPr>
        <w:t>深化绩效审计理念</w:t>
      </w:r>
      <w:r>
        <w:rPr>
          <w:rFonts w:hint="eastAsia" w:ascii="宋体" w:hAnsi="宋体" w:eastAsia="黑体" w:cs="黑体"/>
          <w:b w:val="0"/>
          <w:bCs w:val="0"/>
          <w:color w:val="auto"/>
          <w:sz w:val="32"/>
          <w:szCs w:val="32"/>
          <w:highlight w:val="none"/>
          <w:u w:val="none"/>
          <w:lang w:val="en-US" w:eastAsia="zh-CN"/>
        </w:rPr>
        <w:t>，促进提升审计效能</w:t>
      </w:r>
    </w:p>
    <w:p>
      <w:pPr>
        <w:pStyle w:val="11"/>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宋体" w:hAnsi="宋体" w:eastAsia="仿宋_GB2312" w:cs="Times New Roman"/>
          <w:b w:val="0"/>
          <w:bCs w:val="0"/>
          <w:color w:val="auto"/>
          <w:sz w:val="32"/>
          <w:szCs w:val="32"/>
          <w:highlight w:val="none"/>
          <w:u w:val="none"/>
          <w:lang w:val="en-US" w:eastAsia="zh-CN"/>
        </w:rPr>
      </w:pPr>
      <w:r>
        <w:rPr>
          <w:rFonts w:hint="eastAsia" w:eastAsia="仿宋_GB2312" w:cs="Times New Roman"/>
          <w:b w:val="0"/>
          <w:bCs w:val="0"/>
          <w:color w:val="auto"/>
          <w:sz w:val="32"/>
          <w:szCs w:val="32"/>
          <w:highlight w:val="none"/>
          <w:u w:val="none"/>
          <w:lang w:val="en-US" w:eastAsia="zh-CN"/>
        </w:rPr>
        <w:t>将绩效审计理念贯彻到</w:t>
      </w:r>
      <w:r>
        <w:rPr>
          <w:rFonts w:hint="eastAsia" w:ascii="宋体" w:hAnsi="宋体" w:eastAsia="仿宋_GB2312" w:cs="Times New Roman"/>
          <w:b w:val="0"/>
          <w:bCs w:val="0"/>
          <w:color w:val="auto"/>
          <w:sz w:val="32"/>
          <w:szCs w:val="32"/>
          <w:highlight w:val="none"/>
          <w:u w:val="none"/>
          <w:lang w:val="en-US" w:eastAsia="zh-CN"/>
        </w:rPr>
        <w:t>本级财政预算执行和区级部门预算执行审计</w:t>
      </w:r>
      <w:r>
        <w:rPr>
          <w:rFonts w:hint="eastAsia" w:eastAsia="仿宋_GB2312" w:cs="Times New Roman"/>
          <w:b w:val="0"/>
          <w:bCs w:val="0"/>
          <w:color w:val="auto"/>
          <w:sz w:val="32"/>
          <w:szCs w:val="32"/>
          <w:highlight w:val="none"/>
          <w:u w:val="none"/>
          <w:lang w:val="en-US" w:eastAsia="zh-CN"/>
        </w:rPr>
        <w:t>中</w:t>
      </w:r>
      <w:r>
        <w:rPr>
          <w:rFonts w:hint="eastAsia" w:ascii="宋体" w:hAnsi="宋体" w:eastAsia="仿宋_GB2312" w:cs="Times New Roman"/>
          <w:b w:val="0"/>
          <w:bCs w:val="0"/>
          <w:color w:val="auto"/>
          <w:sz w:val="32"/>
          <w:szCs w:val="32"/>
          <w:highlight w:val="none"/>
          <w:u w:val="none"/>
          <w:lang w:val="en-US" w:eastAsia="zh-CN"/>
        </w:rPr>
        <w:t>，聚焦优化财政资源配置，持续强化对预算绩效管理的审计监督</w:t>
      </w:r>
      <w:r>
        <w:rPr>
          <w:rFonts w:hint="eastAsia" w:eastAsia="仿宋_GB2312" w:cs="Times New Roman"/>
          <w:b w:val="0"/>
          <w:bCs w:val="0"/>
          <w:color w:val="auto"/>
          <w:sz w:val="32"/>
          <w:szCs w:val="32"/>
          <w:highlight w:val="none"/>
          <w:u w:val="none"/>
          <w:lang w:val="en-US" w:eastAsia="zh-CN"/>
        </w:rPr>
        <w:t>。推动加强</w:t>
      </w:r>
      <w:r>
        <w:rPr>
          <w:rFonts w:hint="eastAsia" w:ascii="宋体" w:hAnsi="宋体" w:eastAsia="仿宋_GB2312" w:cs="Times New Roman"/>
          <w:b w:val="0"/>
          <w:bCs w:val="0"/>
          <w:color w:val="auto"/>
          <w:sz w:val="32"/>
          <w:szCs w:val="32"/>
          <w:highlight w:val="none"/>
          <w:u w:val="none"/>
          <w:lang w:val="en-US" w:eastAsia="zh-CN"/>
        </w:rPr>
        <w:t>预算绩效管理机制约束</w:t>
      </w:r>
      <w:r>
        <w:rPr>
          <w:rFonts w:hint="eastAsia" w:eastAsia="仿宋_GB2312" w:cs="Times New Roman"/>
          <w:b w:val="0"/>
          <w:bCs w:val="0"/>
          <w:color w:val="auto"/>
          <w:sz w:val="32"/>
          <w:szCs w:val="32"/>
          <w:highlight w:val="none"/>
          <w:u w:val="none"/>
          <w:lang w:val="en-US" w:eastAsia="zh-CN"/>
        </w:rPr>
        <w:t>力</w:t>
      </w:r>
      <w:r>
        <w:rPr>
          <w:rFonts w:hint="eastAsia" w:ascii="宋体" w:hAnsi="宋体" w:eastAsia="仿宋_GB2312" w:cs="Times New Roman"/>
          <w:b w:val="0"/>
          <w:bCs w:val="0"/>
          <w:color w:val="auto"/>
          <w:sz w:val="32"/>
          <w:szCs w:val="32"/>
          <w:highlight w:val="none"/>
          <w:u w:val="none"/>
          <w:lang w:val="en-US" w:eastAsia="zh-CN"/>
        </w:rPr>
        <w:t>，逐步完善“花钱必问效，无效必问责”的体制机制，促进财政资金聚力增效。</w:t>
      </w:r>
      <w:r>
        <w:rPr>
          <w:rFonts w:hint="eastAsia" w:eastAsia="仿宋_GB2312" w:cs="Times New Roman"/>
          <w:b w:val="0"/>
          <w:bCs w:val="0"/>
          <w:color w:val="auto"/>
          <w:sz w:val="32"/>
          <w:szCs w:val="32"/>
          <w:highlight w:val="none"/>
          <w:u w:val="none"/>
          <w:lang w:val="en-US" w:eastAsia="zh-CN"/>
        </w:rPr>
        <w:t>关注</w:t>
      </w:r>
      <w:r>
        <w:rPr>
          <w:rFonts w:hint="eastAsia" w:ascii="宋体" w:hAnsi="宋体" w:eastAsia="仿宋_GB2312" w:cs="Times New Roman"/>
          <w:b w:val="0"/>
          <w:bCs w:val="0"/>
          <w:color w:val="auto"/>
          <w:sz w:val="32"/>
          <w:szCs w:val="32"/>
          <w:highlight w:val="none"/>
          <w:u w:val="none"/>
          <w:lang w:val="en-US" w:eastAsia="zh-CN"/>
        </w:rPr>
        <w:t>严格控制</w:t>
      </w:r>
      <w:r>
        <w:rPr>
          <w:rFonts w:hint="eastAsia" w:eastAsia="仿宋_GB2312" w:cs="Times New Roman"/>
          <w:b w:val="0"/>
          <w:bCs w:val="0"/>
          <w:color w:val="auto"/>
          <w:sz w:val="32"/>
          <w:szCs w:val="32"/>
          <w:highlight w:val="none"/>
          <w:u w:val="none"/>
          <w:lang w:val="en-US" w:eastAsia="zh-CN"/>
        </w:rPr>
        <w:t>一般性支出情况</w:t>
      </w:r>
      <w:r>
        <w:rPr>
          <w:rFonts w:hint="eastAsia" w:ascii="宋体" w:hAnsi="宋体" w:eastAsia="仿宋_GB2312" w:cs="Times New Roman"/>
          <w:b w:val="0"/>
          <w:bCs w:val="0"/>
          <w:color w:val="auto"/>
          <w:sz w:val="32"/>
          <w:szCs w:val="32"/>
          <w:highlight w:val="none"/>
          <w:u w:val="none"/>
          <w:lang w:val="en-US" w:eastAsia="zh-CN"/>
        </w:rPr>
        <w:t>，</w:t>
      </w:r>
      <w:r>
        <w:rPr>
          <w:rFonts w:hint="eastAsia" w:eastAsia="仿宋_GB2312" w:cs="Times New Roman"/>
          <w:b w:val="0"/>
          <w:bCs w:val="0"/>
          <w:color w:val="auto"/>
          <w:sz w:val="32"/>
          <w:szCs w:val="32"/>
          <w:highlight w:val="none"/>
          <w:u w:val="none"/>
          <w:lang w:val="en-US" w:eastAsia="zh-CN"/>
        </w:rPr>
        <w:t>促进提升</w:t>
      </w:r>
      <w:r>
        <w:rPr>
          <w:rFonts w:hint="eastAsia" w:ascii="宋体" w:hAnsi="宋体" w:eastAsia="仿宋_GB2312" w:cs="Times New Roman"/>
          <w:b w:val="0"/>
          <w:bCs w:val="0"/>
          <w:color w:val="auto"/>
          <w:sz w:val="32"/>
          <w:szCs w:val="32"/>
          <w:highlight w:val="none"/>
          <w:u w:val="none"/>
          <w:lang w:val="en-US" w:eastAsia="zh-CN"/>
        </w:rPr>
        <w:t>政府采购</w:t>
      </w:r>
      <w:r>
        <w:rPr>
          <w:rFonts w:hint="eastAsia" w:eastAsia="仿宋_GB2312" w:cs="Times New Roman"/>
          <w:b w:val="0"/>
          <w:bCs w:val="0"/>
          <w:color w:val="auto"/>
          <w:sz w:val="32"/>
          <w:szCs w:val="32"/>
          <w:highlight w:val="none"/>
          <w:u w:val="none"/>
          <w:lang w:val="en-US" w:eastAsia="zh-CN"/>
        </w:rPr>
        <w:t>和</w:t>
      </w:r>
      <w:r>
        <w:rPr>
          <w:rFonts w:hint="eastAsia" w:ascii="宋体" w:hAnsi="宋体" w:eastAsia="仿宋_GB2312" w:cs="Times New Roman"/>
          <w:b w:val="0"/>
          <w:bCs w:val="0"/>
          <w:color w:val="auto"/>
          <w:sz w:val="32"/>
          <w:szCs w:val="32"/>
          <w:highlight w:val="none"/>
          <w:u w:val="none"/>
          <w:lang w:val="en-US" w:eastAsia="zh-CN"/>
        </w:rPr>
        <w:t>购买服务</w:t>
      </w:r>
      <w:r>
        <w:rPr>
          <w:rFonts w:hint="eastAsia" w:eastAsia="仿宋_GB2312" w:cs="Times New Roman"/>
          <w:b w:val="0"/>
          <w:bCs w:val="0"/>
          <w:color w:val="auto"/>
          <w:sz w:val="32"/>
          <w:szCs w:val="32"/>
          <w:highlight w:val="none"/>
          <w:u w:val="none"/>
          <w:lang w:val="en-US" w:eastAsia="zh-CN"/>
        </w:rPr>
        <w:t>管理水平。扎实开展与人民群众切身利益紧密相关的定向安置房、街巷物业、法律援助、校外教育等民生领域审计项目，促进扎实办好民生实事，发挥资金实效。</w:t>
      </w:r>
    </w:p>
    <w:p>
      <w:pPr>
        <w:pStyle w:val="11"/>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宋体" w:hAnsi="宋体" w:eastAsia="仿宋_GB2312" w:cs="Times New Roman"/>
          <w:b w:val="0"/>
          <w:bCs w:val="0"/>
          <w:color w:val="auto"/>
          <w:sz w:val="32"/>
          <w:szCs w:val="32"/>
          <w:highlight w:val="none"/>
          <w:u w:val="none"/>
          <w:lang w:val="en-US" w:eastAsia="zh-CN"/>
        </w:rPr>
      </w:pPr>
      <w:r>
        <w:rPr>
          <w:rFonts w:hint="default" w:ascii="宋体" w:hAnsi="宋体" w:eastAsia="仿宋_GB2312" w:cs="Times New Roman"/>
          <w:b w:val="0"/>
          <w:bCs w:val="0"/>
          <w:color w:val="auto"/>
          <w:sz w:val="32"/>
          <w:szCs w:val="32"/>
          <w:highlight w:val="none"/>
          <w:u w:val="none"/>
          <w:lang w:val="en-US" w:eastAsia="zh-CN"/>
        </w:rPr>
        <w:t>下一步，</w:t>
      </w:r>
      <w:r>
        <w:rPr>
          <w:rFonts w:hint="eastAsia" w:eastAsia="仿宋_GB2312" w:cs="Times New Roman"/>
          <w:b w:val="0"/>
          <w:bCs w:val="0"/>
          <w:color w:val="auto"/>
          <w:sz w:val="32"/>
          <w:szCs w:val="32"/>
          <w:highlight w:val="none"/>
          <w:u w:val="none"/>
          <w:lang w:val="en-US" w:eastAsia="zh-CN"/>
        </w:rPr>
        <w:t>区审计局</w:t>
      </w:r>
      <w:r>
        <w:rPr>
          <w:rFonts w:hint="default" w:ascii="宋体" w:hAnsi="宋体" w:eastAsia="仿宋_GB2312" w:cs="Times New Roman"/>
          <w:b w:val="0"/>
          <w:bCs w:val="0"/>
          <w:color w:val="auto"/>
          <w:sz w:val="32"/>
          <w:szCs w:val="32"/>
          <w:highlight w:val="none"/>
          <w:u w:val="none"/>
          <w:lang w:val="en-US" w:eastAsia="zh-CN"/>
        </w:rPr>
        <w:t>将</w:t>
      </w:r>
      <w:r>
        <w:rPr>
          <w:rFonts w:hint="default" w:ascii="宋体" w:hAnsi="宋体" w:eastAsia="仿宋_GB2312" w:cs="Times New Roman"/>
          <w:b w:val="0"/>
          <w:bCs w:val="0"/>
          <w:dstrike w:val="0"/>
          <w:color w:val="auto"/>
          <w:sz w:val="32"/>
          <w:szCs w:val="32"/>
          <w:highlight w:val="none"/>
          <w:u w:val="none"/>
          <w:lang w:val="en-US" w:eastAsia="zh-CN"/>
        </w:rPr>
        <w:t>按照</w:t>
      </w:r>
      <w:r>
        <w:rPr>
          <w:rFonts w:hint="eastAsia" w:eastAsia="仿宋_GB2312" w:cs="Times New Roman"/>
          <w:b w:val="0"/>
          <w:bCs w:val="0"/>
          <w:dstrike w:val="0"/>
          <w:color w:val="auto"/>
          <w:sz w:val="32"/>
          <w:szCs w:val="32"/>
          <w:highlight w:val="none"/>
          <w:u w:val="none"/>
          <w:lang w:val="en-US" w:eastAsia="zh-CN"/>
        </w:rPr>
        <w:t>区委区政府</w:t>
      </w:r>
      <w:r>
        <w:rPr>
          <w:rFonts w:hint="default" w:ascii="宋体" w:hAnsi="宋体" w:eastAsia="仿宋_GB2312" w:cs="Times New Roman"/>
          <w:b w:val="0"/>
          <w:bCs w:val="0"/>
          <w:dstrike w:val="0"/>
          <w:color w:val="auto"/>
          <w:sz w:val="32"/>
          <w:szCs w:val="32"/>
          <w:highlight w:val="none"/>
          <w:u w:val="none"/>
          <w:lang w:val="en-US" w:eastAsia="zh-CN"/>
        </w:rPr>
        <w:t>部署要求</w:t>
      </w:r>
      <w:r>
        <w:rPr>
          <w:rFonts w:hint="eastAsia" w:eastAsia="仿宋_GB2312" w:cs="Times New Roman"/>
          <w:b w:val="0"/>
          <w:bCs w:val="0"/>
          <w:dstrike w:val="0"/>
          <w:color w:val="auto"/>
          <w:sz w:val="32"/>
          <w:szCs w:val="32"/>
          <w:highlight w:val="none"/>
          <w:u w:val="none"/>
          <w:lang w:val="en-US" w:eastAsia="zh-CN"/>
        </w:rPr>
        <w:t>，</w:t>
      </w:r>
      <w:r>
        <w:rPr>
          <w:rFonts w:hint="default" w:ascii="宋体" w:hAnsi="宋体" w:eastAsia="仿宋_GB2312" w:cs="Times New Roman"/>
          <w:b w:val="0"/>
          <w:bCs w:val="0"/>
          <w:dstrike w:val="0"/>
          <w:color w:val="auto"/>
          <w:sz w:val="32"/>
          <w:szCs w:val="32"/>
          <w:highlight w:val="none"/>
          <w:u w:val="none"/>
          <w:lang w:val="en-US" w:eastAsia="zh-CN"/>
        </w:rPr>
        <w:t>加强</w:t>
      </w:r>
      <w:r>
        <w:rPr>
          <w:rFonts w:hint="eastAsia" w:eastAsia="仿宋_GB2312" w:cs="Times New Roman"/>
          <w:b w:val="0"/>
          <w:bCs w:val="0"/>
          <w:dstrike w:val="0"/>
          <w:color w:val="auto"/>
          <w:sz w:val="32"/>
          <w:szCs w:val="32"/>
          <w:highlight w:val="none"/>
          <w:u w:val="none"/>
          <w:lang w:val="en-US" w:eastAsia="zh-CN"/>
        </w:rPr>
        <w:t>对被审计单位整改情况的</w:t>
      </w:r>
      <w:r>
        <w:rPr>
          <w:rFonts w:hint="default" w:ascii="宋体" w:hAnsi="宋体" w:eastAsia="仿宋_GB2312" w:cs="Times New Roman"/>
          <w:b w:val="0"/>
          <w:bCs w:val="0"/>
          <w:dstrike w:val="0"/>
          <w:color w:val="auto"/>
          <w:sz w:val="32"/>
          <w:szCs w:val="32"/>
          <w:highlight w:val="none"/>
          <w:u w:val="none"/>
          <w:lang w:val="en-US" w:eastAsia="zh-CN"/>
        </w:rPr>
        <w:t>跟踪</w:t>
      </w:r>
      <w:r>
        <w:rPr>
          <w:rFonts w:hint="eastAsia" w:eastAsia="仿宋_GB2312" w:cs="Times New Roman"/>
          <w:b w:val="0"/>
          <w:bCs w:val="0"/>
          <w:dstrike w:val="0"/>
          <w:color w:val="auto"/>
          <w:sz w:val="32"/>
          <w:szCs w:val="32"/>
          <w:highlight w:val="none"/>
          <w:u w:val="none"/>
          <w:lang w:val="en-US" w:eastAsia="zh-CN"/>
        </w:rPr>
        <w:t>检查</w:t>
      </w:r>
      <w:r>
        <w:rPr>
          <w:rFonts w:hint="default" w:ascii="宋体" w:hAnsi="宋体" w:eastAsia="仿宋_GB2312" w:cs="Times New Roman"/>
          <w:b w:val="0"/>
          <w:bCs w:val="0"/>
          <w:dstrike w:val="0"/>
          <w:color w:val="auto"/>
          <w:sz w:val="32"/>
          <w:szCs w:val="32"/>
          <w:highlight w:val="none"/>
          <w:u w:val="none"/>
          <w:lang w:val="en-US" w:eastAsia="zh-CN"/>
        </w:rPr>
        <w:t>力度</w:t>
      </w:r>
      <w:r>
        <w:rPr>
          <w:rFonts w:hint="eastAsia" w:eastAsia="仿宋_GB2312" w:cs="Times New Roman"/>
          <w:b w:val="0"/>
          <w:bCs w:val="0"/>
          <w:strike w:val="0"/>
          <w:dstrike w:val="0"/>
          <w:color w:val="auto"/>
          <w:sz w:val="32"/>
          <w:szCs w:val="32"/>
          <w:highlight w:val="none"/>
          <w:u w:val="none"/>
          <w:lang w:val="en-US" w:eastAsia="zh-CN"/>
        </w:rPr>
        <w:t>，</w:t>
      </w:r>
      <w:r>
        <w:rPr>
          <w:rFonts w:hint="default" w:ascii="宋体" w:hAnsi="宋体" w:eastAsia="仿宋_GB2312" w:cs="Times New Roman"/>
          <w:b w:val="0"/>
          <w:bCs w:val="0"/>
          <w:color w:val="auto"/>
          <w:sz w:val="32"/>
          <w:szCs w:val="32"/>
          <w:highlight w:val="none"/>
          <w:u w:val="none"/>
          <w:lang w:val="en-US" w:eastAsia="zh-CN"/>
        </w:rPr>
        <w:t>全面整改情况将于年底前依法公告。</w:t>
      </w:r>
    </w:p>
    <w:sectPr>
      <w:footerReference r:id="rId3" w:type="default"/>
      <w:pgSz w:w="11906" w:h="16838"/>
      <w:pgMar w:top="2098" w:right="1474" w:bottom="1984" w:left="1587" w:header="850"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420" w:leftChars="200" w:right="420" w:rightChars="200"/>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left="420" w:leftChars="200" w:right="420" w:rightChars="200"/>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763FB"/>
    <w:multiLevelType w:val="singleLevel"/>
    <w:tmpl w:val="F84763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DBmNTYxMjBmM2Q1ZGZjYjE4Y2ZmMWI4MDhlOWMifQ=="/>
  </w:docVars>
  <w:rsids>
    <w:rsidRoot w:val="00000000"/>
    <w:rsid w:val="00083919"/>
    <w:rsid w:val="00DE7B94"/>
    <w:rsid w:val="01202E9F"/>
    <w:rsid w:val="012D1E96"/>
    <w:rsid w:val="014640DC"/>
    <w:rsid w:val="01536131"/>
    <w:rsid w:val="017B11E4"/>
    <w:rsid w:val="01C42B8B"/>
    <w:rsid w:val="027D0EB3"/>
    <w:rsid w:val="03256B79"/>
    <w:rsid w:val="03CC0D9A"/>
    <w:rsid w:val="03EE2141"/>
    <w:rsid w:val="03F85DF0"/>
    <w:rsid w:val="043D6C25"/>
    <w:rsid w:val="047D369E"/>
    <w:rsid w:val="04A07EA0"/>
    <w:rsid w:val="04CB7AB4"/>
    <w:rsid w:val="04F441DD"/>
    <w:rsid w:val="04F76DD4"/>
    <w:rsid w:val="05453FE3"/>
    <w:rsid w:val="05632BF5"/>
    <w:rsid w:val="059A4270"/>
    <w:rsid w:val="05A52CD4"/>
    <w:rsid w:val="05AA0FAD"/>
    <w:rsid w:val="05B526C2"/>
    <w:rsid w:val="05DD710F"/>
    <w:rsid w:val="05E530D0"/>
    <w:rsid w:val="05EE0E5B"/>
    <w:rsid w:val="05EF6B3E"/>
    <w:rsid w:val="062067FE"/>
    <w:rsid w:val="06277B8D"/>
    <w:rsid w:val="06993C7E"/>
    <w:rsid w:val="06A64C35"/>
    <w:rsid w:val="07594DD3"/>
    <w:rsid w:val="076410C3"/>
    <w:rsid w:val="0797664C"/>
    <w:rsid w:val="07F1189A"/>
    <w:rsid w:val="08056409"/>
    <w:rsid w:val="08103071"/>
    <w:rsid w:val="08144587"/>
    <w:rsid w:val="086679C8"/>
    <w:rsid w:val="08B457E7"/>
    <w:rsid w:val="091617B1"/>
    <w:rsid w:val="094B1630"/>
    <w:rsid w:val="097D2529"/>
    <w:rsid w:val="09AD2157"/>
    <w:rsid w:val="0AFB34F9"/>
    <w:rsid w:val="0AFC5AB9"/>
    <w:rsid w:val="0B325009"/>
    <w:rsid w:val="0B4B087E"/>
    <w:rsid w:val="0BEE20DC"/>
    <w:rsid w:val="0BFA30B5"/>
    <w:rsid w:val="0C3C77C2"/>
    <w:rsid w:val="0C6E1671"/>
    <w:rsid w:val="0C804552"/>
    <w:rsid w:val="0C852349"/>
    <w:rsid w:val="0CCD48BE"/>
    <w:rsid w:val="0CF04635"/>
    <w:rsid w:val="0DA72958"/>
    <w:rsid w:val="0DC938E4"/>
    <w:rsid w:val="0DEC53D8"/>
    <w:rsid w:val="0DF07788"/>
    <w:rsid w:val="0DF30354"/>
    <w:rsid w:val="0DF74345"/>
    <w:rsid w:val="0DFE2EE2"/>
    <w:rsid w:val="0E211365"/>
    <w:rsid w:val="0E7E1404"/>
    <w:rsid w:val="0EED0CB1"/>
    <w:rsid w:val="10375178"/>
    <w:rsid w:val="1083539F"/>
    <w:rsid w:val="10AB3168"/>
    <w:rsid w:val="10F15FB3"/>
    <w:rsid w:val="110F1949"/>
    <w:rsid w:val="11201E87"/>
    <w:rsid w:val="115D412C"/>
    <w:rsid w:val="11903203"/>
    <w:rsid w:val="12674668"/>
    <w:rsid w:val="12D037F8"/>
    <w:rsid w:val="13160D6D"/>
    <w:rsid w:val="13345FCF"/>
    <w:rsid w:val="13750F52"/>
    <w:rsid w:val="13CF478A"/>
    <w:rsid w:val="13D529D6"/>
    <w:rsid w:val="14106DC1"/>
    <w:rsid w:val="14155FFA"/>
    <w:rsid w:val="144B2281"/>
    <w:rsid w:val="144F1C55"/>
    <w:rsid w:val="14614856"/>
    <w:rsid w:val="146C51D7"/>
    <w:rsid w:val="14D90A44"/>
    <w:rsid w:val="14FC3F92"/>
    <w:rsid w:val="15233C64"/>
    <w:rsid w:val="152734FA"/>
    <w:rsid w:val="15804BC3"/>
    <w:rsid w:val="15834320"/>
    <w:rsid w:val="15A1394C"/>
    <w:rsid w:val="160B549D"/>
    <w:rsid w:val="1632283F"/>
    <w:rsid w:val="167D201D"/>
    <w:rsid w:val="17176494"/>
    <w:rsid w:val="172D48D7"/>
    <w:rsid w:val="17497230"/>
    <w:rsid w:val="17731CE3"/>
    <w:rsid w:val="17BD20FF"/>
    <w:rsid w:val="17FB4561"/>
    <w:rsid w:val="18B24E72"/>
    <w:rsid w:val="18BA03EC"/>
    <w:rsid w:val="19242EBC"/>
    <w:rsid w:val="192B33A3"/>
    <w:rsid w:val="192C3C0C"/>
    <w:rsid w:val="19904744"/>
    <w:rsid w:val="19A5599D"/>
    <w:rsid w:val="19B26295"/>
    <w:rsid w:val="19E164BA"/>
    <w:rsid w:val="19E5593D"/>
    <w:rsid w:val="1A054770"/>
    <w:rsid w:val="1A9516F2"/>
    <w:rsid w:val="1B074DBE"/>
    <w:rsid w:val="1B880C21"/>
    <w:rsid w:val="1BB16F47"/>
    <w:rsid w:val="1BE13414"/>
    <w:rsid w:val="1BF92BC2"/>
    <w:rsid w:val="1BFD7F6D"/>
    <w:rsid w:val="1C6C3F7E"/>
    <w:rsid w:val="1CA16557"/>
    <w:rsid w:val="1CEE68B6"/>
    <w:rsid w:val="1DAB201B"/>
    <w:rsid w:val="1DFE4BD5"/>
    <w:rsid w:val="1EF001CF"/>
    <w:rsid w:val="1EF34658"/>
    <w:rsid w:val="1F4B1DA5"/>
    <w:rsid w:val="1F4C4682"/>
    <w:rsid w:val="1FA871F0"/>
    <w:rsid w:val="20117C39"/>
    <w:rsid w:val="201B3E66"/>
    <w:rsid w:val="21310D1B"/>
    <w:rsid w:val="213D4BC5"/>
    <w:rsid w:val="216435EB"/>
    <w:rsid w:val="217421F1"/>
    <w:rsid w:val="218E7F84"/>
    <w:rsid w:val="21D908F7"/>
    <w:rsid w:val="22FA64C2"/>
    <w:rsid w:val="232A7B8B"/>
    <w:rsid w:val="2393541D"/>
    <w:rsid w:val="23CB0B1B"/>
    <w:rsid w:val="23CB5DFA"/>
    <w:rsid w:val="23DC66CD"/>
    <w:rsid w:val="24031718"/>
    <w:rsid w:val="24224138"/>
    <w:rsid w:val="24414F55"/>
    <w:rsid w:val="244E625C"/>
    <w:rsid w:val="24897B3B"/>
    <w:rsid w:val="249B5576"/>
    <w:rsid w:val="24CC06A1"/>
    <w:rsid w:val="24D528C8"/>
    <w:rsid w:val="24DF529A"/>
    <w:rsid w:val="25342EB8"/>
    <w:rsid w:val="25A45B22"/>
    <w:rsid w:val="25B5368C"/>
    <w:rsid w:val="25DB2AE9"/>
    <w:rsid w:val="26A52D3E"/>
    <w:rsid w:val="270B4A53"/>
    <w:rsid w:val="272E1912"/>
    <w:rsid w:val="277005AD"/>
    <w:rsid w:val="27D233F6"/>
    <w:rsid w:val="2865484F"/>
    <w:rsid w:val="28BF41F7"/>
    <w:rsid w:val="28DE3A87"/>
    <w:rsid w:val="29C64E6E"/>
    <w:rsid w:val="29E001BB"/>
    <w:rsid w:val="2A787BC3"/>
    <w:rsid w:val="2B2A0E31"/>
    <w:rsid w:val="2B3312DE"/>
    <w:rsid w:val="2B391645"/>
    <w:rsid w:val="2B98304D"/>
    <w:rsid w:val="2BA06E71"/>
    <w:rsid w:val="2BA50E41"/>
    <w:rsid w:val="2BC36EFA"/>
    <w:rsid w:val="2BD967CE"/>
    <w:rsid w:val="2BFB4B4C"/>
    <w:rsid w:val="2CDC13EF"/>
    <w:rsid w:val="2D04529F"/>
    <w:rsid w:val="2D1A5C83"/>
    <w:rsid w:val="2D643359"/>
    <w:rsid w:val="2D71422B"/>
    <w:rsid w:val="2D8566DE"/>
    <w:rsid w:val="2DDA5E4B"/>
    <w:rsid w:val="2E1F2D74"/>
    <w:rsid w:val="2E4B562C"/>
    <w:rsid w:val="2EC418A8"/>
    <w:rsid w:val="2EC4391B"/>
    <w:rsid w:val="2F584E16"/>
    <w:rsid w:val="2FA07EE4"/>
    <w:rsid w:val="2FA86D99"/>
    <w:rsid w:val="2FB90FA6"/>
    <w:rsid w:val="2FE72D81"/>
    <w:rsid w:val="2FEC2319"/>
    <w:rsid w:val="303A0A0C"/>
    <w:rsid w:val="30AA7103"/>
    <w:rsid w:val="30D456D5"/>
    <w:rsid w:val="30E262DA"/>
    <w:rsid w:val="312C54B2"/>
    <w:rsid w:val="316177D1"/>
    <w:rsid w:val="3163741B"/>
    <w:rsid w:val="33072028"/>
    <w:rsid w:val="33232C4B"/>
    <w:rsid w:val="338673F1"/>
    <w:rsid w:val="33971EAE"/>
    <w:rsid w:val="33A97DD7"/>
    <w:rsid w:val="33E459A5"/>
    <w:rsid w:val="349A75F8"/>
    <w:rsid w:val="34E157A5"/>
    <w:rsid w:val="34F44C30"/>
    <w:rsid w:val="355552CD"/>
    <w:rsid w:val="356A3F23"/>
    <w:rsid w:val="361D359E"/>
    <w:rsid w:val="36B30238"/>
    <w:rsid w:val="36E64092"/>
    <w:rsid w:val="36EB0EB3"/>
    <w:rsid w:val="36ED48A0"/>
    <w:rsid w:val="36F806AC"/>
    <w:rsid w:val="37190BC6"/>
    <w:rsid w:val="37194233"/>
    <w:rsid w:val="3781601A"/>
    <w:rsid w:val="378E2D18"/>
    <w:rsid w:val="37ED26D7"/>
    <w:rsid w:val="38237904"/>
    <w:rsid w:val="38D8504C"/>
    <w:rsid w:val="38F61CA6"/>
    <w:rsid w:val="396257DF"/>
    <w:rsid w:val="396F4F47"/>
    <w:rsid w:val="39A052B9"/>
    <w:rsid w:val="3A2C203E"/>
    <w:rsid w:val="3AA32719"/>
    <w:rsid w:val="3AA52853"/>
    <w:rsid w:val="3AB37AB5"/>
    <w:rsid w:val="3ACB5003"/>
    <w:rsid w:val="3AE16320"/>
    <w:rsid w:val="3B295232"/>
    <w:rsid w:val="3B304812"/>
    <w:rsid w:val="3B36100C"/>
    <w:rsid w:val="3B9D5C20"/>
    <w:rsid w:val="3BE455FD"/>
    <w:rsid w:val="3BE7454D"/>
    <w:rsid w:val="3BED565D"/>
    <w:rsid w:val="3BFF49CE"/>
    <w:rsid w:val="3C462BF6"/>
    <w:rsid w:val="3C6B187A"/>
    <w:rsid w:val="3C993525"/>
    <w:rsid w:val="3CEB75EB"/>
    <w:rsid w:val="3D210DFB"/>
    <w:rsid w:val="3D2A36EB"/>
    <w:rsid w:val="3D9646D4"/>
    <w:rsid w:val="3DDF0AAA"/>
    <w:rsid w:val="3DEF7E8E"/>
    <w:rsid w:val="3E5C76CC"/>
    <w:rsid w:val="3EC75217"/>
    <w:rsid w:val="3ED951C1"/>
    <w:rsid w:val="3F403283"/>
    <w:rsid w:val="3F82178F"/>
    <w:rsid w:val="3F8F762D"/>
    <w:rsid w:val="3FAB22D0"/>
    <w:rsid w:val="3FBC2D17"/>
    <w:rsid w:val="4073794A"/>
    <w:rsid w:val="412E0C6D"/>
    <w:rsid w:val="41386C98"/>
    <w:rsid w:val="417E5BAB"/>
    <w:rsid w:val="41914EBE"/>
    <w:rsid w:val="42650B37"/>
    <w:rsid w:val="42F500EF"/>
    <w:rsid w:val="437C611B"/>
    <w:rsid w:val="4395431C"/>
    <w:rsid w:val="43DB5A08"/>
    <w:rsid w:val="43F263DD"/>
    <w:rsid w:val="43FF25CC"/>
    <w:rsid w:val="442E450C"/>
    <w:rsid w:val="44C76090"/>
    <w:rsid w:val="4528489A"/>
    <w:rsid w:val="45791C36"/>
    <w:rsid w:val="462F1B6A"/>
    <w:rsid w:val="46C36136"/>
    <w:rsid w:val="46FD57C4"/>
    <w:rsid w:val="476668C9"/>
    <w:rsid w:val="476C382D"/>
    <w:rsid w:val="48430F31"/>
    <w:rsid w:val="48766D91"/>
    <w:rsid w:val="48D433F2"/>
    <w:rsid w:val="48D87ACE"/>
    <w:rsid w:val="48F50EEE"/>
    <w:rsid w:val="48F51B80"/>
    <w:rsid w:val="491447AA"/>
    <w:rsid w:val="496F33D3"/>
    <w:rsid w:val="49E922BC"/>
    <w:rsid w:val="49FC0652"/>
    <w:rsid w:val="4A0C2FCC"/>
    <w:rsid w:val="4A6022F2"/>
    <w:rsid w:val="4AAA0730"/>
    <w:rsid w:val="4AEC1DD8"/>
    <w:rsid w:val="4B94283C"/>
    <w:rsid w:val="4BFB0965"/>
    <w:rsid w:val="4C03237E"/>
    <w:rsid w:val="4C397B49"/>
    <w:rsid w:val="4C983FC5"/>
    <w:rsid w:val="4C9B1D07"/>
    <w:rsid w:val="4CA52567"/>
    <w:rsid w:val="4CAB1095"/>
    <w:rsid w:val="4CE10844"/>
    <w:rsid w:val="4CE136D2"/>
    <w:rsid w:val="4CE34708"/>
    <w:rsid w:val="4D4D4947"/>
    <w:rsid w:val="4DB52955"/>
    <w:rsid w:val="4E214614"/>
    <w:rsid w:val="4FC63269"/>
    <w:rsid w:val="5043693E"/>
    <w:rsid w:val="5055531F"/>
    <w:rsid w:val="50772144"/>
    <w:rsid w:val="50B37886"/>
    <w:rsid w:val="513A16D5"/>
    <w:rsid w:val="516D65C3"/>
    <w:rsid w:val="51E50315"/>
    <w:rsid w:val="51F77960"/>
    <w:rsid w:val="52026C0D"/>
    <w:rsid w:val="531F708B"/>
    <w:rsid w:val="5371691A"/>
    <w:rsid w:val="53AB7A48"/>
    <w:rsid w:val="53DF42D1"/>
    <w:rsid w:val="54161C73"/>
    <w:rsid w:val="54700E3E"/>
    <w:rsid w:val="549110BC"/>
    <w:rsid w:val="549113B3"/>
    <w:rsid w:val="54F77CF7"/>
    <w:rsid w:val="55047236"/>
    <w:rsid w:val="55060354"/>
    <w:rsid w:val="55132900"/>
    <w:rsid w:val="552F7491"/>
    <w:rsid w:val="555D5DAC"/>
    <w:rsid w:val="55B45B88"/>
    <w:rsid w:val="56202B6C"/>
    <w:rsid w:val="56B32F08"/>
    <w:rsid w:val="571C3CF1"/>
    <w:rsid w:val="5730033F"/>
    <w:rsid w:val="57430FD1"/>
    <w:rsid w:val="57A40D5C"/>
    <w:rsid w:val="587B1EB6"/>
    <w:rsid w:val="58CB176E"/>
    <w:rsid w:val="592050D3"/>
    <w:rsid w:val="59737978"/>
    <w:rsid w:val="59B07DE2"/>
    <w:rsid w:val="59CF4D9E"/>
    <w:rsid w:val="5A6F4745"/>
    <w:rsid w:val="5AE47614"/>
    <w:rsid w:val="5AFA0B77"/>
    <w:rsid w:val="5B3A26EB"/>
    <w:rsid w:val="5B3C1C49"/>
    <w:rsid w:val="5B775347"/>
    <w:rsid w:val="5B89684D"/>
    <w:rsid w:val="5B8E3BF7"/>
    <w:rsid w:val="5BA55BB8"/>
    <w:rsid w:val="5BB00510"/>
    <w:rsid w:val="5C2561EE"/>
    <w:rsid w:val="5C2802A0"/>
    <w:rsid w:val="5C4E644E"/>
    <w:rsid w:val="5C4F2557"/>
    <w:rsid w:val="5C7010B5"/>
    <w:rsid w:val="5C7834CB"/>
    <w:rsid w:val="5CA11064"/>
    <w:rsid w:val="5CDF673A"/>
    <w:rsid w:val="5D2F1393"/>
    <w:rsid w:val="5D7B0BC5"/>
    <w:rsid w:val="5D922BE0"/>
    <w:rsid w:val="5DD741D7"/>
    <w:rsid w:val="5DF83FF1"/>
    <w:rsid w:val="5E19746C"/>
    <w:rsid w:val="5E575A76"/>
    <w:rsid w:val="5E782EE9"/>
    <w:rsid w:val="5EC54992"/>
    <w:rsid w:val="5F2673D4"/>
    <w:rsid w:val="5F2C67EF"/>
    <w:rsid w:val="5FA92E49"/>
    <w:rsid w:val="5FFF3FA5"/>
    <w:rsid w:val="607336EB"/>
    <w:rsid w:val="6095611D"/>
    <w:rsid w:val="60E43825"/>
    <w:rsid w:val="61841917"/>
    <w:rsid w:val="6199660B"/>
    <w:rsid w:val="622445A1"/>
    <w:rsid w:val="622A5268"/>
    <w:rsid w:val="623600B0"/>
    <w:rsid w:val="626330E3"/>
    <w:rsid w:val="62B1770D"/>
    <w:rsid w:val="62E53885"/>
    <w:rsid w:val="630C4FCF"/>
    <w:rsid w:val="63211DC1"/>
    <w:rsid w:val="632716D0"/>
    <w:rsid w:val="633032C5"/>
    <w:rsid w:val="63396021"/>
    <w:rsid w:val="63BD0C3A"/>
    <w:rsid w:val="641071BA"/>
    <w:rsid w:val="64351664"/>
    <w:rsid w:val="644B7717"/>
    <w:rsid w:val="64772FD9"/>
    <w:rsid w:val="64B61035"/>
    <w:rsid w:val="64E21E2A"/>
    <w:rsid w:val="6502427A"/>
    <w:rsid w:val="650A1380"/>
    <w:rsid w:val="658B4970"/>
    <w:rsid w:val="65F77EA2"/>
    <w:rsid w:val="662E1B7A"/>
    <w:rsid w:val="66476B7B"/>
    <w:rsid w:val="666A7D08"/>
    <w:rsid w:val="66D67A41"/>
    <w:rsid w:val="66F066D4"/>
    <w:rsid w:val="671220D3"/>
    <w:rsid w:val="67473418"/>
    <w:rsid w:val="680F1E0F"/>
    <w:rsid w:val="68150768"/>
    <w:rsid w:val="681F3216"/>
    <w:rsid w:val="68BA4E6C"/>
    <w:rsid w:val="68D67545"/>
    <w:rsid w:val="693E5A9D"/>
    <w:rsid w:val="696C43B8"/>
    <w:rsid w:val="69E45863"/>
    <w:rsid w:val="6A0455EA"/>
    <w:rsid w:val="6A3B5729"/>
    <w:rsid w:val="6A7230F4"/>
    <w:rsid w:val="6AB04778"/>
    <w:rsid w:val="6B1A7FBB"/>
    <w:rsid w:val="6C0B3E21"/>
    <w:rsid w:val="6CB22A29"/>
    <w:rsid w:val="6CB273CD"/>
    <w:rsid w:val="6CD636D1"/>
    <w:rsid w:val="6D42279F"/>
    <w:rsid w:val="6D5C3A9A"/>
    <w:rsid w:val="6E776AA0"/>
    <w:rsid w:val="6E8D5B1F"/>
    <w:rsid w:val="6EC15387"/>
    <w:rsid w:val="6ECB2C88"/>
    <w:rsid w:val="6F431486"/>
    <w:rsid w:val="6F965FBC"/>
    <w:rsid w:val="6FAB1E15"/>
    <w:rsid w:val="6FD32C38"/>
    <w:rsid w:val="6FD6690C"/>
    <w:rsid w:val="70606E10"/>
    <w:rsid w:val="71844269"/>
    <w:rsid w:val="727F5414"/>
    <w:rsid w:val="729A4E44"/>
    <w:rsid w:val="73191466"/>
    <w:rsid w:val="73621237"/>
    <w:rsid w:val="739C299A"/>
    <w:rsid w:val="73AD3F4B"/>
    <w:rsid w:val="73CB1A0F"/>
    <w:rsid w:val="744D7869"/>
    <w:rsid w:val="749573EE"/>
    <w:rsid w:val="74D62C03"/>
    <w:rsid w:val="75032465"/>
    <w:rsid w:val="75BC1A9B"/>
    <w:rsid w:val="75E12BAC"/>
    <w:rsid w:val="768C0CCE"/>
    <w:rsid w:val="76DD1BAC"/>
    <w:rsid w:val="774E77F3"/>
    <w:rsid w:val="777E745A"/>
    <w:rsid w:val="77AB353A"/>
    <w:rsid w:val="77BC65FA"/>
    <w:rsid w:val="77F72EC5"/>
    <w:rsid w:val="77FD4F13"/>
    <w:rsid w:val="7888577A"/>
    <w:rsid w:val="78EA4108"/>
    <w:rsid w:val="78F47F26"/>
    <w:rsid w:val="79325328"/>
    <w:rsid w:val="79914BA5"/>
    <w:rsid w:val="799D4AB5"/>
    <w:rsid w:val="7A56779D"/>
    <w:rsid w:val="7A7A10EC"/>
    <w:rsid w:val="7AA965F6"/>
    <w:rsid w:val="7AC31E19"/>
    <w:rsid w:val="7AD701AD"/>
    <w:rsid w:val="7AFD045E"/>
    <w:rsid w:val="7BAC2A0F"/>
    <w:rsid w:val="7BFB7CC2"/>
    <w:rsid w:val="7C0F0BB5"/>
    <w:rsid w:val="7C63164A"/>
    <w:rsid w:val="7CAD7FAA"/>
    <w:rsid w:val="7D653826"/>
    <w:rsid w:val="7DA70411"/>
    <w:rsid w:val="7DF26607"/>
    <w:rsid w:val="7E0359AE"/>
    <w:rsid w:val="7E452EBB"/>
    <w:rsid w:val="7E4E09FF"/>
    <w:rsid w:val="7E6C6F4E"/>
    <w:rsid w:val="7F5D5BBA"/>
    <w:rsid w:val="7FA51DE9"/>
    <w:rsid w:val="7FB566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val="0"/>
      <w:spacing w:before="0" w:beforeAutospacing="1" w:after="0" w:afterAutospacing="1"/>
      <w:ind w:left="0" w:right="0"/>
      <w:jc w:val="left"/>
    </w:pPr>
    <w:rPr>
      <w:rFonts w:ascii="Calibri" w:hAnsi="Calibri" w:eastAsia="宋体" w:cs="黑体"/>
      <w:kern w:val="0"/>
      <w:sz w:val="24"/>
      <w:szCs w:val="24"/>
      <w:lang w:val="en-US" w:eastAsia="zh-CN"/>
    </w:rPr>
  </w:style>
  <w:style w:type="character" w:styleId="7">
    <w:name w:val="Strong"/>
    <w:basedOn w:val="6"/>
    <w:qFormat/>
    <w:uiPriority w:val="0"/>
    <w:rPr>
      <w:b/>
    </w:rPr>
  </w:style>
  <w:style w:type="character" w:styleId="8">
    <w:name w:val="page number"/>
    <w:qFormat/>
    <w:uiPriority w:val="0"/>
  </w:style>
  <w:style w:type="character" w:styleId="9">
    <w:name w:val="FollowedHyperlink"/>
    <w:basedOn w:val="6"/>
    <w:qFormat/>
    <w:uiPriority w:val="0"/>
    <w:rPr>
      <w:color w:val="333333"/>
      <w:u w:val="none"/>
    </w:rPr>
  </w:style>
  <w:style w:type="character" w:styleId="10">
    <w:name w:val="Hyperlink"/>
    <w:basedOn w:val="6"/>
    <w:qFormat/>
    <w:uiPriority w:val="0"/>
    <w:rPr>
      <w:color w:val="333333"/>
      <w:u w:val="none"/>
    </w:rPr>
  </w:style>
  <w:style w:type="paragraph" w:customStyle="1" w:styleId="11">
    <w:name w:val="Char Char Char Char Char Char Char Char Char Char Char Char"/>
    <w:basedOn w:val="1"/>
    <w:qFormat/>
    <w:uiPriority w:val="0"/>
    <w:rPr>
      <w:rFonts w:ascii="宋体" w:hAnsi="宋体" w:cs="Courier New"/>
      <w:sz w:val="32"/>
      <w:szCs w:val="32"/>
    </w:rPr>
  </w:style>
  <w:style w:type="character" w:customStyle="1" w:styleId="12">
    <w:name w:val="commonfont"/>
    <w:basedOn w:val="6"/>
    <w:qFormat/>
    <w:uiPriority w:val="0"/>
  </w:style>
  <w:style w:type="character" w:customStyle="1" w:styleId="13">
    <w:name w:val="commonfont1"/>
    <w:basedOn w:val="6"/>
    <w:qFormat/>
    <w:uiPriority w:val="0"/>
    <w:rPr>
      <w:color w:val="666666"/>
    </w:rPr>
  </w:style>
  <w:style w:type="character" w:customStyle="1" w:styleId="14">
    <w:name w:val="swiper-active-switch"/>
    <w:basedOn w:val="6"/>
    <w:qFormat/>
    <w:uiPriority w:val="0"/>
    <w:rPr>
      <w:shd w:val="clear" w:fill="FF0000"/>
    </w:rPr>
  </w:style>
  <w:style w:type="character" w:customStyle="1" w:styleId="15">
    <w:name w:val="nth-child(1)"/>
    <w:basedOn w:val="6"/>
    <w:qFormat/>
    <w:uiPriority w:val="0"/>
    <w:rPr>
      <w:color w:val="666666"/>
    </w:rPr>
  </w:style>
  <w:style w:type="character" w:customStyle="1" w:styleId="16">
    <w:name w:val="nth-child(1)1"/>
    <w:basedOn w:val="6"/>
    <w:qFormat/>
    <w:uiPriority w:val="0"/>
    <w:rPr>
      <w:color w:val="1D1D1D"/>
    </w:rPr>
  </w:style>
  <w:style w:type="character" w:customStyle="1" w:styleId="17">
    <w:name w:val="nth-child(1)2"/>
    <w:basedOn w:val="6"/>
    <w:qFormat/>
    <w:uiPriority w:val="0"/>
    <w:rPr>
      <w:color w:val="666666"/>
    </w:rPr>
  </w:style>
  <w:style w:type="character" w:customStyle="1" w:styleId="18">
    <w:name w:val="slide-dot-cur"/>
    <w:basedOn w:val="6"/>
    <w:qFormat/>
    <w:uiPriority w:val="0"/>
    <w:rPr>
      <w:shd w:val="clear" w:fill="6B1B55"/>
    </w:rPr>
  </w:style>
  <w:style w:type="character" w:customStyle="1" w:styleId="19">
    <w:name w:val="nth-child(2)"/>
    <w:basedOn w:val="6"/>
    <w:qFormat/>
    <w:uiPriority w:val="0"/>
    <w:rPr>
      <w:color w:val="9F9F9F"/>
    </w:rPr>
  </w:style>
  <w:style w:type="character" w:customStyle="1" w:styleId="20">
    <w:name w:val="nth-child(2)1"/>
    <w:basedOn w:val="6"/>
    <w:qFormat/>
    <w:uiPriority w:val="0"/>
    <w:rPr>
      <w:color w:val="9F9F9F"/>
    </w:rPr>
  </w:style>
  <w:style w:type="character" w:customStyle="1" w:styleId="21">
    <w:name w:val="nth-child(2)2"/>
    <w:basedOn w:val="6"/>
    <w:qFormat/>
    <w:uiPriority w:val="0"/>
    <w:rPr>
      <w:color w:val="9F9F9F"/>
    </w:rPr>
  </w:style>
  <w:style w:type="character" w:customStyle="1" w:styleId="22">
    <w:name w:val="iconfont2"/>
    <w:basedOn w:val="6"/>
    <w:qFormat/>
    <w:uiPriority w:val="0"/>
    <w:rPr>
      <w:color w:val="666666"/>
    </w:r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1055</Words>
  <Characters>1062</Characters>
  <Lines>0</Lines>
  <Paragraphs>0</Paragraphs>
  <TotalTime>0</TotalTime>
  <ScaleCrop>false</ScaleCrop>
  <LinksUpToDate>false</LinksUpToDate>
  <CharactersWithSpaces>1062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2022-06-09T03:18:00Z</dcterms:created>
  <dc:creator>刘东琪</dc:creator>
  <cp:lastModifiedBy>赵永华</cp:lastModifiedBy>
  <cp:lastPrinted>2022-07-27T01:44:00Z</cp:lastPrinted>
  <dcterms:modified xsi:type="dcterms:W3CDTF">2022-08-17T08:13:55Z</dcterms:modified>
  <dc:title>关于西城区2021年度财政预算执行和其他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699A47C1542A468980E343C980CA5261</vt:lpwstr>
  </property>
</Properties>
</file>