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center" w:pos="4422"/>
          <w:tab w:val="right" w:pos="8844"/>
        </w:tabs>
        <w:kinsoku/>
        <w:wordWrap/>
        <w:overflowPunct/>
        <w:topLinePunct w:val="0"/>
        <w:bidi w:val="0"/>
        <w:spacing w:line="560" w:lineRule="exact"/>
        <w:jc w:val="center"/>
        <w:textAlignment w:val="auto"/>
        <w:outlineLvl w:val="0"/>
        <w:rPr>
          <w:rFonts w:ascii="仿宋_GB2312"/>
          <w:sz w:val="28"/>
          <w:szCs w:val="32"/>
        </w:rPr>
      </w:pPr>
      <w:bookmarkStart w:id="0" w:name="_Toc10550"/>
      <w:r>
        <w:rPr>
          <w:rFonts w:hint="eastAsia" w:ascii="黑体" w:hAnsi="黑体" w:eastAsia="黑体"/>
          <w:color w:val="auto"/>
          <w:spacing w:val="10"/>
          <w:sz w:val="32"/>
          <w:szCs w:val="32"/>
        </w:rPr>
        <w:t>10 西城区关于进一步支持民营企业发展的若干措施</w:t>
      </w:r>
      <w:r>
        <w:rPr>
          <w:rFonts w:hint="eastAsia" w:ascii="黑体" w:hAnsi="黑体" w:eastAsia="黑体"/>
          <w:color w:val="auto"/>
          <w:spacing w:val="10"/>
          <w:sz w:val="32"/>
          <w:szCs w:val="32"/>
        </w:rPr>
        <w:br w:type="textWrapping"/>
      </w:r>
      <w:r>
        <w:rPr>
          <w:rFonts w:hint="eastAsia" w:ascii="仿宋_GB2312"/>
          <w:sz w:val="28"/>
          <w:szCs w:val="32"/>
        </w:rPr>
        <w:t>西发改〔2019〕38号</w:t>
      </w:r>
      <w:bookmarkEnd w:id="0"/>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为贯彻落实习近平总书记在民营企业座谈会上重要讲话精神，进一步激发经济发展的活力和动力，推动民营企业健康发展，在落实《北京城市总体规划(2016年-2035年)》和“双控四降”要求下，按照《关于进一步激发民间有效投资活力促进经济持续健康发展的指导意见》（国办发〔2017〕79号）、《关于健全政策机制进一步促进民间经济发展的若干措施》（京发改〔2018〕1736号）文件精神，立足首都功能核心区的定位，结合西城区产业发展实际，制定本措施。</w:t>
      </w:r>
    </w:p>
    <w:p>
      <w:pPr>
        <w:pageBreakBefore w:val="0"/>
        <w:kinsoku/>
        <w:wordWrap/>
        <w:overflowPunct/>
        <w:topLinePunct w:val="0"/>
        <w:bidi w:val="0"/>
        <w:snapToGrid w:val="0"/>
        <w:spacing w:line="560" w:lineRule="exact"/>
        <w:ind w:firstLine="560" w:firstLineChars="200"/>
        <w:textAlignment w:val="auto"/>
        <w:rPr>
          <w:rFonts w:ascii="黑体" w:hAnsi="黑体" w:eastAsia="黑体"/>
          <w:sz w:val="28"/>
          <w:szCs w:val="32"/>
        </w:rPr>
      </w:pPr>
      <w:r>
        <w:rPr>
          <w:rFonts w:hint="eastAsia" w:ascii="黑体" w:hAnsi="黑体" w:eastAsia="黑体"/>
          <w:sz w:val="28"/>
          <w:szCs w:val="32"/>
        </w:rPr>
        <w:t>一、完善市场准入政策</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w:t>
      </w:r>
      <w:r>
        <w:rPr>
          <w:rFonts w:ascii="仿宋_GB2312"/>
          <w:sz w:val="28"/>
          <w:szCs w:val="32"/>
        </w:rPr>
        <w:t>.</w:t>
      </w:r>
      <w:r>
        <w:rPr>
          <w:rFonts w:hint="eastAsia" w:ascii="仿宋_GB2312"/>
          <w:sz w:val="28"/>
          <w:szCs w:val="32"/>
        </w:rPr>
        <w:t>深入推动国有企业混合所有制改革，研究制定关于区属国有企业发展混合所有制经济的实施意见，稳步推动区属企业混合所有制改革，引入非公有资本战略投资人。鼓励市场竞争类企业引入各类优质资本实施股权多元化，选择相对成熟的企业通过试点先行、有序实施，分类、分层推进混合所有制改革。（区国资委、区工商联）</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2</w:t>
      </w:r>
      <w:r>
        <w:rPr>
          <w:rFonts w:ascii="仿宋_GB2312"/>
          <w:sz w:val="28"/>
          <w:szCs w:val="32"/>
        </w:rPr>
        <w:t>.</w:t>
      </w:r>
      <w:r>
        <w:rPr>
          <w:rFonts w:hint="eastAsia" w:ascii="仿宋_GB2312"/>
          <w:sz w:val="28"/>
          <w:szCs w:val="32"/>
        </w:rPr>
        <w:t>多措并举支持民间资本参与国有存量资产盘活，充分利用各类产权交易市场价格发现、价值实现功能，采取出售、转让、租赁、回租、招商合作等多种形式对国有存量资产予以盘活，实现有效利用。（区国资委）</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3．修订北京市西城区新增产业的禁止和限制目录，细化禁限范围，在严控非首都功能增量的同时，支持民营企业发展符合首都功能定位的“高精尖”产业。（区发展改革委）</w:t>
      </w:r>
    </w:p>
    <w:p>
      <w:pPr>
        <w:pageBreakBefore w:val="0"/>
        <w:kinsoku/>
        <w:wordWrap/>
        <w:overflowPunct/>
        <w:topLinePunct w:val="0"/>
        <w:bidi w:val="0"/>
        <w:snapToGrid w:val="0"/>
        <w:spacing w:line="560" w:lineRule="exact"/>
        <w:ind w:firstLine="560" w:firstLineChars="200"/>
        <w:textAlignment w:val="auto"/>
        <w:rPr>
          <w:rFonts w:ascii="黑体" w:hAnsi="黑体" w:eastAsia="黑体"/>
          <w:sz w:val="28"/>
          <w:szCs w:val="32"/>
        </w:rPr>
      </w:pPr>
      <w:r>
        <w:rPr>
          <w:rFonts w:hint="eastAsia" w:ascii="黑体" w:hAnsi="黑体" w:eastAsia="黑体"/>
          <w:sz w:val="28"/>
          <w:szCs w:val="32"/>
        </w:rPr>
        <w:t>二、深化“放管服”改革，优化营商环境</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4</w:t>
      </w:r>
      <w:r>
        <w:rPr>
          <w:rFonts w:ascii="仿宋_GB2312"/>
          <w:sz w:val="28"/>
          <w:szCs w:val="32"/>
        </w:rPr>
        <w:t>.</w:t>
      </w:r>
      <w:r>
        <w:rPr>
          <w:rFonts w:hint="eastAsia" w:ascii="仿宋_GB2312"/>
          <w:sz w:val="28"/>
          <w:szCs w:val="32"/>
        </w:rPr>
        <w:t>优化准入审批流程，提升审批效率。精简审批材料，创新流转程序，压缩审批时限，先试先行“一号一窗一网一次”，为新产业、新业态、新商业模式开通审批“绿色通道”。建立完善投资项目审批首问负责制，依托投资项目在线审批监管平台，推进投资项目审批“一张网”,进一步探索深化“多审合一”“多规合一”“多评合一”协同平台工作机制。民营企业运营文化设施中涉及的文化市场行政许可事项，推进行政审批“三集中三到位”，实现前台“一窗式”综合受理。（区市场监督管理局、市规划和自然资源委员会西城分局、区住房城市建设委、区城市管理委、区文化和旅游局、区发展改革委）</w:t>
      </w:r>
    </w:p>
    <w:p>
      <w:pPr>
        <w:pageBreakBefore w:val="0"/>
        <w:kinsoku/>
        <w:wordWrap/>
        <w:overflowPunct/>
        <w:topLinePunct w:val="0"/>
        <w:bidi w:val="0"/>
        <w:snapToGrid w:val="0"/>
        <w:spacing w:line="560" w:lineRule="exact"/>
        <w:ind w:firstLine="562" w:firstLineChars="200"/>
        <w:textAlignment w:val="auto"/>
        <w:rPr>
          <w:rFonts w:ascii="黑体" w:hAnsi="黑体" w:eastAsia="黑体"/>
          <w:sz w:val="28"/>
          <w:szCs w:val="32"/>
        </w:rPr>
      </w:pPr>
      <w:r>
        <w:rPr>
          <w:rFonts w:hint="eastAsia" w:ascii="仿宋_GB2312"/>
          <w:b/>
          <w:sz w:val="28"/>
          <w:szCs w:val="32"/>
        </w:rPr>
        <w:t>三</w:t>
      </w:r>
      <w:r>
        <w:rPr>
          <w:rFonts w:hint="eastAsia" w:ascii="黑体" w:hAnsi="黑体" w:eastAsia="黑体"/>
          <w:b/>
          <w:sz w:val="28"/>
          <w:szCs w:val="32"/>
        </w:rPr>
        <w:t>、</w:t>
      </w:r>
      <w:r>
        <w:rPr>
          <w:rFonts w:hint="eastAsia" w:ascii="黑体" w:hAnsi="黑体" w:eastAsia="黑体"/>
          <w:sz w:val="28"/>
          <w:szCs w:val="32"/>
        </w:rPr>
        <w:t>鼓励民营资本参与公共服务项目建设运营和产业升级</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5</w:t>
      </w:r>
      <w:r>
        <w:rPr>
          <w:rFonts w:ascii="仿宋_GB2312"/>
          <w:sz w:val="28"/>
          <w:szCs w:val="32"/>
        </w:rPr>
        <w:t>.</w:t>
      </w:r>
      <w:r>
        <w:rPr>
          <w:rFonts w:hint="eastAsia" w:ascii="仿宋_GB2312"/>
          <w:sz w:val="28"/>
          <w:szCs w:val="32"/>
        </w:rPr>
        <w:t>鼓励发展政府和社会资本合作（</w:t>
      </w:r>
      <w:r>
        <w:rPr>
          <w:rFonts w:ascii="仿宋_GB2312"/>
          <w:sz w:val="28"/>
          <w:szCs w:val="32"/>
        </w:rPr>
        <w:t>PPP</w:t>
      </w:r>
      <w:r>
        <w:rPr>
          <w:rFonts w:hint="eastAsia" w:ascii="仿宋_GB2312"/>
          <w:sz w:val="28"/>
          <w:szCs w:val="32"/>
        </w:rPr>
        <w:t>）项目。深入落实《西城区推广政府与社会资本合作（</w:t>
      </w:r>
      <w:r>
        <w:rPr>
          <w:rFonts w:ascii="仿宋_GB2312"/>
          <w:sz w:val="28"/>
          <w:szCs w:val="32"/>
        </w:rPr>
        <w:t>PPP</w:t>
      </w:r>
      <w:r>
        <w:rPr>
          <w:rFonts w:hint="eastAsia" w:ascii="仿宋_GB2312"/>
          <w:sz w:val="28"/>
          <w:szCs w:val="32"/>
        </w:rPr>
        <w:t>）模式的实施意见》，积极在历史文化名城保护、智慧城市、养老医疗、教育文化等领域探索推广</w:t>
      </w:r>
      <w:r>
        <w:rPr>
          <w:rFonts w:ascii="仿宋_GB2312"/>
          <w:sz w:val="28"/>
          <w:szCs w:val="32"/>
        </w:rPr>
        <w:t>PPP</w:t>
      </w:r>
      <w:r>
        <w:rPr>
          <w:rFonts w:hint="eastAsia" w:ascii="仿宋_GB2312"/>
          <w:sz w:val="28"/>
          <w:szCs w:val="32"/>
        </w:rPr>
        <w:t>模式。（区财政局）</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6</w:t>
      </w:r>
      <w:r>
        <w:rPr>
          <w:rFonts w:ascii="仿宋_GB2312"/>
          <w:sz w:val="28"/>
          <w:szCs w:val="32"/>
        </w:rPr>
        <w:t>.</w:t>
      </w:r>
      <w:r>
        <w:rPr>
          <w:rFonts w:hint="eastAsia" w:ascii="仿宋_GB2312"/>
          <w:sz w:val="28"/>
          <w:szCs w:val="32"/>
        </w:rPr>
        <w:t>鼓励社会资本参与医疗卫生服务和老年康养建设。鼓励现有社会资本进行医疗机构转型，鼓励社会资本举办国际化医疗机构或健康服务机构,完善区域高端医疗资源配套。支持社会资本参与完善社区卫生服务网络建设、参与区域老年医疗服务体系建设、举办基层医疗卫生机构。鼓励社区卫生服务延伸至社区养老机构和居民家庭，为老年人群提供连续、全程服务。（区卫生健康委员会、区民政局）</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7</w:t>
      </w:r>
      <w:r>
        <w:rPr>
          <w:rFonts w:ascii="仿宋_GB2312"/>
          <w:sz w:val="28"/>
          <w:szCs w:val="32"/>
        </w:rPr>
        <w:t>.</w:t>
      </w:r>
      <w:r>
        <w:rPr>
          <w:rFonts w:hint="eastAsia" w:ascii="仿宋_GB2312"/>
          <w:sz w:val="28"/>
          <w:szCs w:val="32"/>
        </w:rPr>
        <w:t>鼓励社会资本参与体育事业发展。研究制定向公众开放体育设施的经费补贴和奖励资助的办法、全民健身场地设施建设扶持政策，鼓励各类社会主体参与全民健身场地设施建设。研究制定北京市西城区体育局向社会力量购买服务管理办法、向社会力量购买服务指导目录，引导鼓励民间资本参与政府购买服务。（区体育局）</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8.鼓励民间资本参与空间资源盘活利用。引导鼓励民间资本积极参与闲置空间、低效空间、疏解空间、腾退空间的盘活利用，充分调动民间资本投资运营相关空间资源的积极性和创造性。（区发展改革委）</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9</w:t>
      </w:r>
      <w:r>
        <w:rPr>
          <w:rFonts w:ascii="仿宋_GB2312"/>
          <w:sz w:val="28"/>
          <w:szCs w:val="32"/>
        </w:rPr>
        <w:t>.</w:t>
      </w:r>
      <w:r>
        <w:rPr>
          <w:rFonts w:hint="eastAsia" w:ascii="仿宋_GB2312"/>
          <w:sz w:val="28"/>
          <w:szCs w:val="32"/>
        </w:rPr>
        <w:t>鼓励民营企业运营主体进行楼宇产业升级改造。鼓励发展高效益、特色化楼宇，鼓励楼宇设施升级、提升品牌形象，鼓励民营企业承担楼宇招商和管理服务任务，提升楼宇经济运行质量。（区发展改革委）</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10</w:t>
      </w:r>
      <w:r>
        <w:rPr>
          <w:rFonts w:ascii="仿宋_GB2312"/>
          <w:sz w:val="28"/>
          <w:szCs w:val="32"/>
        </w:rPr>
        <w:t>.</w:t>
      </w:r>
      <w:r>
        <w:rPr>
          <w:rFonts w:hint="eastAsia" w:ascii="仿宋_GB2312"/>
          <w:sz w:val="28"/>
          <w:szCs w:val="32"/>
        </w:rPr>
        <w:t>鼓励民营企业积极参与文商旅发展。加快推进文商旅融合发展，着力引导和扶持新产业、新业态、新供给，为民营企业创造更多发展机遇。支持民间资本投资中低端住宿业转型升级。</w:t>
      </w:r>
      <w:r>
        <w:rPr>
          <w:rFonts w:hint="eastAsia" w:ascii="仿宋_GB2312" w:hAnsi="Songti SC"/>
          <w:sz w:val="28"/>
          <w:szCs w:val="32"/>
        </w:rPr>
        <w:t>支持生活性服务业民营企业规范化、品牌化、规模化、集约化发展。</w:t>
      </w:r>
      <w:r>
        <w:rPr>
          <w:rFonts w:hint="eastAsia" w:ascii="仿宋_GB2312"/>
          <w:sz w:val="28"/>
          <w:szCs w:val="32"/>
        </w:rPr>
        <w:t>（区文化和旅游局、区商务局、区发展改革委）</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11.鼓励社会资本参与公共服务领域建设运营。鼓励社会力量参与园林绿化、市政设施养护维修等公共服务领域建设运营，引导和支持社会力量参与城市管理。（区发展改革委）</w:t>
      </w:r>
    </w:p>
    <w:p>
      <w:pPr>
        <w:pageBreakBefore w:val="0"/>
        <w:kinsoku/>
        <w:wordWrap/>
        <w:overflowPunct/>
        <w:topLinePunct w:val="0"/>
        <w:bidi w:val="0"/>
        <w:snapToGrid w:val="0"/>
        <w:spacing w:line="560" w:lineRule="exact"/>
        <w:ind w:firstLine="560" w:firstLineChars="200"/>
        <w:textAlignment w:val="auto"/>
        <w:rPr>
          <w:rFonts w:ascii="黑体" w:hAnsi="黑体" w:eastAsia="黑体"/>
          <w:sz w:val="28"/>
          <w:szCs w:val="32"/>
        </w:rPr>
      </w:pPr>
      <w:r>
        <w:rPr>
          <w:rFonts w:hint="eastAsia" w:ascii="黑体" w:hAnsi="黑体" w:eastAsia="黑体"/>
          <w:sz w:val="28"/>
          <w:szCs w:val="32"/>
        </w:rPr>
        <w:t>四、加大民营企业投融资服务力度</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12</w:t>
      </w:r>
      <w:r>
        <w:rPr>
          <w:rFonts w:ascii="仿宋_GB2312"/>
          <w:sz w:val="28"/>
          <w:szCs w:val="32"/>
        </w:rPr>
        <w:t>.</w:t>
      </w:r>
      <w:r>
        <w:rPr>
          <w:rFonts w:hint="eastAsia" w:ascii="仿宋_GB2312"/>
          <w:sz w:val="28"/>
          <w:szCs w:val="32"/>
        </w:rPr>
        <w:t>健全完善1+N+Ｐ融资对接平台,助力对接民营企业融资需求。加强与金融监管部门沟通，支持和推进优秀民营企业上市，帮助企业拓宽直接融资渠道、促进规范发展、提高知名度、竞争力与人才吸引力。依托金融街资源优势，协调对接驻区金融机构，在贷款发放、保险资金、增信支持、信托产品、债券投资、股权投资等方面加大对民营企业的融资支持。（北京金融街服务局、西城园管委会）</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13.研究制定促进民营企业融资服务相关政策措施。完善政银担合作机制,建立合理的政银担合作与风险分担模式，建立民营企业融资担保贷款、创业担保贷款补贴机制。引导金融机构向民营企业提供弱担保、轻资产、信用类融资支持，加大对民营企业的融资担保支持力度。（区发展改革委、区财政局、区金融服务办）</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14.支持民营企业创业投资健康发展。支持产业创投引导基金主要通过股权投资方式促进我区中小企业、非公企业创业投资发展。设立北京新动力优质企业发展基金，主要投向专注实体经营、业绩良好、出现暂时流动性危机的优质上市公司，通过多种方式向上市公司提供资金支持。（资本运营中心、区财政局、区发展改革委）</w:t>
      </w:r>
    </w:p>
    <w:p>
      <w:pPr>
        <w:pageBreakBefore w:val="0"/>
        <w:kinsoku/>
        <w:wordWrap/>
        <w:overflowPunct/>
        <w:topLinePunct w:val="0"/>
        <w:bidi w:val="0"/>
        <w:snapToGrid w:val="0"/>
        <w:spacing w:line="560" w:lineRule="exact"/>
        <w:ind w:firstLine="560" w:firstLineChars="200"/>
        <w:textAlignment w:val="auto"/>
        <w:rPr>
          <w:rFonts w:ascii="黑体" w:hAnsi="黑体" w:eastAsia="黑体"/>
          <w:bCs/>
          <w:kern w:val="0"/>
          <w:sz w:val="28"/>
          <w:szCs w:val="32"/>
        </w:rPr>
      </w:pPr>
      <w:r>
        <w:rPr>
          <w:rFonts w:hint="eastAsia" w:ascii="黑体" w:hAnsi="黑体" w:eastAsia="黑体"/>
          <w:kern w:val="0"/>
          <w:sz w:val="28"/>
          <w:szCs w:val="32"/>
        </w:rPr>
        <w:t>五、健全工作机制，提升政府保障性</w:t>
      </w:r>
      <w:r>
        <w:rPr>
          <w:rFonts w:hint="eastAsia" w:ascii="黑体" w:hAnsi="黑体" w:eastAsia="黑体"/>
          <w:bCs/>
          <w:kern w:val="0"/>
          <w:sz w:val="28"/>
          <w:szCs w:val="32"/>
        </w:rPr>
        <w:t>服务水平</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15.充分利用“服务卡、示范牌、晴雨表、亲清会、光荣榜”服务模式，建立综合评价机制，助推民营企业与多方交流合作。建立政企沟通机制，定期组织对接活动，深入开展联系走访；促进民营企业之间的交流、合作、互助；促进民营企业与国有企业沟通交流，推进更广阔市场化合作。（全区各相关部门）</w:t>
      </w:r>
    </w:p>
    <w:p>
      <w:pPr>
        <w:pageBreakBefore w:val="0"/>
        <w:kinsoku/>
        <w:wordWrap/>
        <w:overflowPunct/>
        <w:topLinePunct w:val="0"/>
        <w:bidi w:val="0"/>
        <w:snapToGrid w:val="0"/>
        <w:spacing w:line="560" w:lineRule="exact"/>
        <w:ind w:firstLine="560" w:firstLineChars="200"/>
        <w:textAlignment w:val="auto"/>
        <w:rPr>
          <w:rFonts w:ascii="仿宋_GB2312"/>
          <w:sz w:val="28"/>
          <w:szCs w:val="32"/>
        </w:rPr>
      </w:pPr>
      <w:r>
        <w:rPr>
          <w:rFonts w:hint="eastAsia" w:ascii="仿宋_GB2312"/>
          <w:sz w:val="28"/>
          <w:szCs w:val="32"/>
        </w:rPr>
        <w:t>16.完善产业政策体系。加强对全区各类产业政策的统筹协调，进一步完善“1+5+N”产业政策体系，持续深化对现有区域政策体系的评估及优化调整，推进产业政策普惠化、功能化，清理违反公平、开放、透明市场规则的政策文件，推进反垄断、反不正当竞争执法。确保民营企业在落地补助、用地用房、运营发展、高管人才、社会待遇、招商引荐等方面扶持政策落地，助推民营企业更好更快发展。</w:t>
      </w:r>
      <w:r>
        <w:rPr>
          <w:rFonts w:ascii="仿宋_GB2312"/>
          <w:sz w:val="28"/>
          <w:szCs w:val="32"/>
        </w:rPr>
        <w:t>(</w:t>
      </w:r>
      <w:r>
        <w:rPr>
          <w:rFonts w:hint="eastAsia" w:ascii="仿宋_GB2312"/>
          <w:sz w:val="28"/>
          <w:szCs w:val="32"/>
        </w:rPr>
        <w:t>全区各相关部门</w:t>
      </w:r>
      <w:r>
        <w:rPr>
          <w:rFonts w:ascii="仿宋_GB2312"/>
          <w:sz w:val="28"/>
          <w:szCs w:val="32"/>
        </w:rPr>
        <w:t>)</w:t>
      </w:r>
    </w:p>
    <w:p>
      <w:pPr>
        <w:pageBreakBefore w:val="0"/>
        <w:kinsoku/>
        <w:wordWrap/>
        <w:overflowPunct/>
        <w:topLinePunct w:val="0"/>
        <w:bidi w:val="0"/>
        <w:spacing w:line="560" w:lineRule="exact"/>
        <w:textAlignment w:val="auto"/>
        <w:rPr>
          <w:rFonts w:ascii="仿宋_GB2312" w:hAnsi="宋体"/>
          <w:kern w:val="0"/>
          <w:sz w:val="28"/>
          <w:szCs w:val="28"/>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ongti SC">
    <w:altName w:val="Arial Unicode MS"/>
    <w:panose1 w:val="00000000000000000000"/>
    <w:charset w:val="88"/>
    <w:family w:val="auto"/>
    <w:pitch w:val="default"/>
    <w:sig w:usb0="00000000" w:usb1="00000000" w:usb2="00000010" w:usb3="00000000" w:csb0="001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A5A38"/>
    <w:rsid w:val="1B1A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tabs>
        <w:tab w:val="left" w:pos="2250"/>
      </w:tabs>
      <w:spacing w:before="100" w:beforeAutospacing="1" w:line="400" w:lineRule="atLeast"/>
      <w:ind w:firstLine="629"/>
    </w:pPr>
    <w:rPr>
      <w:rFonts w:eastAsia="宋体"/>
      <w:sz w:val="32"/>
    </w:rPr>
  </w:style>
  <w:style w:type="paragraph" w:customStyle="1" w:styleId="5">
    <w:name w:val="Defaul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2022-08-26T08:45:00Z</dcterms:created>
  <dc:creator>NTKO</dc:creator>
  <cp:lastModifiedBy>NTKO</cp:lastModifiedBy>
  <dcterms:modified xsi:type="dcterms:W3CDTF">2022-08-26T08:46:07Z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