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北京市西城区人民政府月坛街道办事处</w:t>
      </w: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2021年度</w:t>
      </w:r>
      <w:r>
        <w:rPr>
          <w:rFonts w:ascii="仿宋_GB2312" w:eastAsia="仿宋_GB2312"/>
          <w:b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决算</w:t>
      </w:r>
      <w:r>
        <w:rPr>
          <w:rFonts w:ascii="仿宋_GB2312" w:eastAsia="仿宋_GB2312"/>
          <w:b/>
          <w:color w:val="000000"/>
          <w:sz w:val="32"/>
          <w:szCs w:val="32"/>
        </w:rPr>
        <w:t>公开目录</w:t>
      </w: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8" w:name="_GoBack"/>
      <w:bookmarkEnd w:id="8"/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2021年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（一）工委、办事处的主要职责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ind w:firstLine="796" w:firstLineChars="24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二、收入决算说明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三、支出决算说明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（一）2021年本年支出决算按用途划分情况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（二）2021年政府采购情况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（三）2021年政府购买服务情况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（四）2021年机关运行经费情况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（五）国有资产占用情况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（七）绩效评价情况</w:t>
      </w:r>
    </w:p>
    <w:p>
      <w:pPr>
        <w:ind w:firstLine="640" w:firstLineChars="200"/>
        <w:rPr>
          <w:rFonts w:ascii="宋体" w:hAnsi="宋体" w:cs="黑体"/>
          <w:b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（八）民生资金公开情况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（九）专业性名词解释</w:t>
      </w:r>
    </w:p>
    <w:p>
      <w:pPr>
        <w:ind w:firstLine="562" w:firstLineChars="200"/>
        <w:rPr>
          <w:rFonts w:ascii="宋体" w:hAnsi="宋体" w:cs="黑体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2021年度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决算报表</w:t>
      </w: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一、表一</w:t>
      </w:r>
      <w:r>
        <w:rPr>
          <w:rFonts w:ascii="仿宋_GB2312" w:eastAsia="仿宋_GB2312"/>
          <w:color w:val="000000"/>
          <w:sz w:val="32"/>
          <w:szCs w:val="32"/>
        </w:rPr>
        <w:t>部门收支总体情况表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二、表二</w:t>
      </w:r>
      <w:r>
        <w:rPr>
          <w:rFonts w:ascii="仿宋_GB2312" w:eastAsia="仿宋_GB2312"/>
          <w:color w:val="000000"/>
          <w:sz w:val="32"/>
          <w:szCs w:val="32"/>
        </w:rPr>
        <w:t>部门收入总体情况表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三、表三</w:t>
      </w:r>
      <w:r>
        <w:rPr>
          <w:rFonts w:ascii="仿宋_GB2312" w:eastAsia="仿宋_GB2312"/>
          <w:color w:val="000000"/>
          <w:sz w:val="32"/>
          <w:szCs w:val="32"/>
        </w:rPr>
        <w:t>部门支出总体情况表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四、表四</w:t>
      </w:r>
      <w:r>
        <w:rPr>
          <w:rFonts w:hint="eastAsia" w:ascii="仿宋_GB2312" w:eastAsia="仿宋_GB2312"/>
          <w:color w:val="000000"/>
          <w:sz w:val="32"/>
          <w:szCs w:val="32"/>
        </w:rPr>
        <w:t>政府采购情况表</w:t>
      </w: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五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表五政府购买服务情况表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六、表六财政拨款收支总体情况表      </w:t>
      </w:r>
    </w:p>
    <w:p>
      <w:pPr>
        <w:autoSpaceDE w:val="0"/>
        <w:autoSpaceDN w:val="0"/>
        <w:adjustRightInd w:val="0"/>
        <w:spacing w:line="560" w:lineRule="exact"/>
        <w:ind w:firstLine="1152" w:firstLineChars="4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七、表七一般公共预算财政拨款支出情况表</w:t>
      </w:r>
    </w:p>
    <w:p>
      <w:pPr>
        <w:tabs>
          <w:tab w:val="left" w:pos="1680"/>
        </w:tabs>
        <w:spacing w:line="540" w:lineRule="exact"/>
        <w:ind w:firstLine="640" w:firstLineChars="200"/>
        <w:rPr>
          <w:rFonts w:ascii="仿宋_GB2312" w:hAnsi="Batang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</w:t>
      </w:r>
      <w:r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八、表八一般公共预算财政拨款基本支出情况表</w:t>
      </w: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九</w:t>
      </w:r>
      <w:r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表九政府性基金预算财政拨款收支情况表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十、表十政府性基金预算财政拨款基本支出情况表十一、表十一国有资本经营预算财政拨款支出决算明细表</w:t>
      </w:r>
    </w:p>
    <w:p>
      <w:pPr>
        <w:autoSpaceDE w:val="0"/>
        <w:autoSpaceDN w:val="0"/>
        <w:adjustRightInd w:val="0"/>
        <w:spacing w:line="560" w:lineRule="exact"/>
        <w:ind w:left="1117" w:leftChars="532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十二、表十二“三公”经费支出决算情况表</w:t>
      </w: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第三部分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2021年“三公”经费情况说明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一、决算单位范围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二、关于2021年部门决算中“三公”经费财政拨款支出情况及与上年对比原因说明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（一）因公出国（境）费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（二）公务接待费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（三）公务用车购置及运行维护费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第四部分、2021年全年区级财政支出绩效跟踪报告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0" w:name="_Toc24058"/>
      <w:r>
        <w:rPr>
          <w:rFonts w:hint="eastAsia" w:ascii="仿宋_GB2312" w:eastAsia="仿宋_GB2312"/>
          <w:color w:val="000000"/>
          <w:sz w:val="32"/>
          <w:szCs w:val="32"/>
        </w:rPr>
        <w:t>一、绩效跟踪工作组织实施情况</w:t>
      </w:r>
      <w:bookmarkEnd w:id="0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1" w:name="_Toc4292"/>
      <w:r>
        <w:rPr>
          <w:rFonts w:hint="eastAsia" w:ascii="仿宋_GB2312" w:eastAsia="仿宋_GB2312"/>
          <w:color w:val="000000"/>
          <w:sz w:val="32"/>
          <w:szCs w:val="32"/>
        </w:rPr>
        <w:t>二、年度预算执行情况</w:t>
      </w:r>
      <w:bookmarkEnd w:id="1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2" w:name="_Toc15395"/>
      <w:r>
        <w:rPr>
          <w:rFonts w:hint="eastAsia" w:ascii="仿宋_GB2312" w:eastAsia="仿宋_GB2312"/>
          <w:color w:val="000000"/>
          <w:sz w:val="32"/>
          <w:szCs w:val="32"/>
        </w:rPr>
        <w:t>（一）预算批复情况</w:t>
      </w:r>
      <w:bookmarkEnd w:id="2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3" w:name="_Toc5872"/>
      <w:r>
        <w:rPr>
          <w:rFonts w:hint="eastAsia" w:ascii="仿宋_GB2312" w:eastAsia="仿宋_GB2312"/>
          <w:color w:val="000000"/>
          <w:sz w:val="32"/>
          <w:szCs w:val="32"/>
        </w:rPr>
        <w:t>（二）预算执行情况</w:t>
      </w:r>
      <w:bookmarkEnd w:id="3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4" w:name="_Toc26425"/>
      <w:r>
        <w:rPr>
          <w:rFonts w:hint="eastAsia" w:ascii="仿宋_GB2312" w:eastAsia="仿宋_GB2312"/>
          <w:color w:val="000000"/>
          <w:sz w:val="32"/>
          <w:szCs w:val="32"/>
        </w:rPr>
        <w:t>三、绩效目标完成情况及分析</w:t>
      </w:r>
      <w:bookmarkEnd w:id="4"/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5" w:name="_Toc16642"/>
      <w:r>
        <w:rPr>
          <w:rFonts w:hint="eastAsia" w:ascii="仿宋_GB2312" w:eastAsia="仿宋_GB2312"/>
          <w:color w:val="000000"/>
          <w:sz w:val="32"/>
          <w:szCs w:val="32"/>
        </w:rPr>
        <w:t>（一）部门整体绩效目标完成情况</w:t>
      </w:r>
      <w:bookmarkEnd w:id="5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（二）项目绩效目标完成情况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6" w:name="_Toc8674"/>
      <w:r>
        <w:rPr>
          <w:rFonts w:hint="eastAsia" w:ascii="仿宋_GB2312" w:eastAsia="仿宋_GB2312"/>
          <w:color w:val="000000"/>
          <w:sz w:val="32"/>
          <w:szCs w:val="32"/>
        </w:rPr>
        <w:t>（三）原因分析</w:t>
      </w:r>
      <w:bookmarkEnd w:id="6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7" w:name="_Toc31846"/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bookmarkEnd w:id="7"/>
      <w:r>
        <w:rPr>
          <w:rFonts w:hint="eastAsia" w:ascii="仿宋_GB2312" w:eastAsia="仿宋_GB2312"/>
          <w:color w:val="000000"/>
          <w:sz w:val="32"/>
          <w:szCs w:val="32"/>
        </w:rPr>
        <w:t>意见和建议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（一）存在的问题及原因分析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（二）持续改进工作的具体措施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DA6"/>
    <w:rsid w:val="00031C48"/>
    <w:rsid w:val="00040F41"/>
    <w:rsid w:val="000F4729"/>
    <w:rsid w:val="00155292"/>
    <w:rsid w:val="001F6CA2"/>
    <w:rsid w:val="002617B3"/>
    <w:rsid w:val="002A0CF3"/>
    <w:rsid w:val="002B27EA"/>
    <w:rsid w:val="002B7529"/>
    <w:rsid w:val="002E45E0"/>
    <w:rsid w:val="003413AC"/>
    <w:rsid w:val="00377D36"/>
    <w:rsid w:val="003F2F73"/>
    <w:rsid w:val="004407AB"/>
    <w:rsid w:val="00476467"/>
    <w:rsid w:val="0050301C"/>
    <w:rsid w:val="006E579E"/>
    <w:rsid w:val="007C310A"/>
    <w:rsid w:val="00800438"/>
    <w:rsid w:val="0085409E"/>
    <w:rsid w:val="008D422D"/>
    <w:rsid w:val="009F6288"/>
    <w:rsid w:val="00AD559E"/>
    <w:rsid w:val="00B8261C"/>
    <w:rsid w:val="00BE4DA6"/>
    <w:rsid w:val="00C515B4"/>
    <w:rsid w:val="00C520F0"/>
    <w:rsid w:val="00C60417"/>
    <w:rsid w:val="00CE7EE1"/>
    <w:rsid w:val="00D208CC"/>
    <w:rsid w:val="00D82BCC"/>
    <w:rsid w:val="00F33BB9"/>
    <w:rsid w:val="00F474A9"/>
    <w:rsid w:val="00F550C1"/>
    <w:rsid w:val="00FB4189"/>
    <w:rsid w:val="10B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3</Pages>
  <Words>114</Words>
  <Characters>653</Characters>
  <Lines>5</Lines>
  <Paragraphs>1</Paragraphs>
  <TotalTime>18</TotalTime>
  <ScaleCrop>false</ScaleCrop>
  <LinksUpToDate>false</LinksUpToDate>
  <CharactersWithSpaces>766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2020-08-31T05:58:00Z</dcterms:created>
  <dc:creator>北京市西城区人民政府月坛街道办事处（主管）</dc:creator>
  <cp:lastModifiedBy>ZJ</cp:lastModifiedBy>
  <dcterms:modified xsi:type="dcterms:W3CDTF">2022-08-30T06:50:52Z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