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北京市西城区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退役军人事务局（本级）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部门决算目录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2021年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部门决算编制说明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一、</w:t>
      </w:r>
      <w:r>
        <w:rPr>
          <w:rFonts w:hint="eastAsia" w:ascii="楷体_GB2312" w:hAnsi="楷体_GB2312" w:eastAsia="楷体_GB2312" w:cs="楷体_GB2312"/>
          <w:sz w:val="32"/>
          <w:szCs w:val="32"/>
        </w:rPr>
        <w:t>部门情况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部门机构设置、职责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机构人员情况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二、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2021年</w:t>
      </w:r>
      <w:r>
        <w:rPr>
          <w:rFonts w:hint="eastAsia" w:ascii="楷体_GB2312" w:hAnsi="楷体_GB2312" w:eastAsia="楷体_GB2312" w:cs="楷体_GB2312"/>
          <w:sz w:val="32"/>
          <w:szCs w:val="32"/>
        </w:rPr>
        <w:t>收入及支出总体情况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支出决算说明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三、其他情况说明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政府采购决算说明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政府购买服务决算说明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绩效目标情况及绩效评价结果说明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国有资产占用情况说明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国有资本经营预算拨款收支情况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政府性基金预算情况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0" w:leftChars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国有资本经营预算情况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四、</w:t>
      </w:r>
      <w:r>
        <w:rPr>
          <w:rFonts w:hint="eastAsia" w:ascii="楷体_GB2312" w:hAnsi="楷体_GB2312" w:eastAsia="楷体_GB2312" w:cs="楷体_GB2312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第二部分：202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部门决算报表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部门收支总体情况表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部门收入总体情况表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三、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部门支出总体情况表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政府采购情况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政府购买服务支出情况表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财政拨款收支总体情况表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一般公共预算财政拨款基本支出情况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政府性基金预算财政拨款收支情况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十、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政府性基金预算财政拨款基本支出情况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国有资本经营预算财政拨款支出情况表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财政拨款“三公”经费支出情况表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pPr>
        <w:ind w:left="630"/>
      </w:pPr>
      <w:rPr>
        <w:rFonts w:hint="eastAsia"/>
      </w:rPr>
    </w:lvl>
  </w:abstractNum>
  <w:abstractNum w:abstractNumId="2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00673B45"/>
    <w:rsid w:val="00AD6EBD"/>
    <w:rsid w:val="00AE7C92"/>
    <w:rsid w:val="15C64BC3"/>
    <w:rsid w:val="41C251C7"/>
    <w:rsid w:val="439959D7"/>
    <w:rsid w:val="500A1C3D"/>
    <w:rsid w:val="63724C5A"/>
    <w:rsid w:val="6F11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</Words>
  <Characters>305</Characters>
  <Lines>2</Lines>
  <Paragraphs>1</Paragraphs>
  <TotalTime>5</TotalTime>
  <ScaleCrop>false</ScaleCrop>
  <LinksUpToDate>false</LinksUpToDate>
  <CharactersWithSpaces>357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ploy</cp:lastModifiedBy>
  <cp:lastPrinted>2021-06-01T01:20:00Z</cp:lastPrinted>
  <dcterms:modified xsi:type="dcterms:W3CDTF">2022-09-01T08:16:17Z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