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zh-CN"/>
        </w:rPr>
        <w:t>北京市西城区信息化项目管理办法</w:t>
      </w:r>
    </w:p>
    <w:p>
      <w:pPr>
        <w:snapToGrid w:val="0"/>
        <w:spacing w:line="68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zh-CN"/>
        </w:rPr>
        <w:t>起草说明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近日，区科信局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对原《北京市西城区信息化项目管理办法》（西政发[2012]6号）进行了修订，形成了新的《北京市西城区信息化项目管理办法》（以下简称“《办法》）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原《管理办法》从2012年发布生效到目前已到期。按照区委区政府部署和要求，信息化建设要重点保障和改善民生，加强统筹，集约高效，协同共享。故需要修订《办法》，建立长效机制。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《办法》聚焦政务领域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信息化项目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的全流程管理，项目申报主体面向西城区各委办局、各街道办事处等单位。项目范围主要包括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使用财政性资金建设实施的项目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使用财政性资金通过购买服务方式采购的项目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通过政府与社会资本合作模式建设实施的项目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本区各级党政机关申请国家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市补助投资以及其他专项资金建设实施的项目。</w:t>
      </w:r>
    </w:p>
    <w:p>
      <w:pPr>
        <w:overflowPunct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napToGrid w:val="0"/>
        <w:spacing w:line="68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76E2"/>
    <w:rsid w:val="18FD76E2"/>
    <w:rsid w:val="205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2022-09-05T03:20:00Z</dcterms:created>
  <dc:creator>kx</dc:creator>
  <cp:lastModifiedBy>kx</cp:lastModifiedBy>
  <dcterms:modified xsi:type="dcterms:W3CDTF">2022-09-05T03:22:32Z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