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西城区城市管理指挥中心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年部门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决算及三公经费决算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第一部分：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Times New Roman"/>
          <w:sz w:val="32"/>
          <w:szCs w:val="32"/>
        </w:rPr>
        <w:t>年度部门决算情况说明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年收入及支出总体说明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三、主要支出情况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四、部门“三公”经费财政拨款支出情况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第二部分：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Times New Roman"/>
          <w:sz w:val="32"/>
          <w:szCs w:val="32"/>
        </w:rPr>
        <w:t>年度部门决算报表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5.2021年政府购买服务支出情况表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政府性基金预算财政拨款收支情况表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11.2021年国有资本经营预算财政拨款支出情况表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年部门决算“三公”经费财政拨款支出情况表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第一部分：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Times New Roman"/>
          <w:sz w:val="32"/>
          <w:szCs w:val="32"/>
        </w:rPr>
        <w:t>年度部门决算情况说明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（一）部门机构设置、职责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因机构改革职责调整及区政府热线并入市12345，原区政务服务管理办公室热线诉求办理职责划转至区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中心。设办公室、监督员管理科、信息管理科、指挥调度科、综合协调科等16个职能科室，其中应急处置科、统筹科的业务受区政府办公室指导。所属全额拨款事业单位1个。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1.负责建立完善全响应服务运行机制，指导推进全区各单位全响应资源整合，指挥、协调、督办全响应服务工作事项和城市管理问题。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2.负责政府热线（北京市非紧急救助服务中心）工作，统筹全区热线工作体系建设、管理、监督和考核工作，负责协调督导接诉即办工作，负责区长信箱等网络诉求办理工作。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3.负责推进区域全面感知体系建设和科技创新应用，构建区城市大脑，实现多网融合、多部门协作、多业务共管、全面贯通和统一指挥的分布式、扁平化城市治理模式。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4.负责城市治理信息化建设和大数据应用，建立数据信息智能决策分析、数据资源共享工作机制，提供城市治理大数据决策服务。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5.负责研究拟订全响应服务工作、城市管理和政府热线的监督考核与评价工作。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6.负责整理、汇总、调研分析全响应服务工作、城市管理和政府热线信息数据，监督检查各有关部门履行全响应服务工作、城市管理和政府热线职责情况。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7.负责城市管理监督员队伍业务指导；负责城市管理监督员的装备配置、招聘、培训、考核和监督管理。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8.完成区政府交办的其他任务。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（二）人员构成情况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行政编制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事业编制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人；工勤编制0名；实际在岗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highlight w:val="none"/>
        </w:rPr>
        <w:t>人；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长期聘用临时工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离退休人员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人，其中：离休0人，退休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Times New Roman"/>
          <w:sz w:val="32"/>
          <w:szCs w:val="32"/>
        </w:rPr>
        <w:t>年收入及支出总体说明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（一）收入决算说明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年收入决算55959709.10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年收入预算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64343175.43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减少8383466.3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减少13.03%。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其中一般公共预算财政拨款55959709.10元，政府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性基金预算财政拨款0元。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（二）支出决算说明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1.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Times New Roman"/>
          <w:sz w:val="32"/>
          <w:szCs w:val="32"/>
        </w:rPr>
        <w:t>年支出决算按用途划分：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55959709.10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元,比2020年一般公共预算财政拨款支出预算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减少8383466.3元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减少13.0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20年有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追加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（1）基本支出决算26450842.38元,比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减少2158052.99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减少7.54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%。主要原因是人员经费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（2）项目支出决算29508866.72元，比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减少6225413.34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减少17.42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追加—600477西城区接诉即办系统项目建设经费、追加—600407“接诉即办”工作第三方评估经费。</w:t>
      </w:r>
    </w:p>
    <w:p>
      <w:pPr>
        <w:pStyle w:val="2"/>
        <w:ind w:firstLine="640" w:firstLineChars="200"/>
        <w:rPr>
          <w:rFonts w:hint="eastAsia" w:ascii="黑体" w:hAnsi="黑体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2"/>
          <w:sz w:val="32"/>
          <w:szCs w:val="32"/>
          <w:lang w:val="en-US" w:eastAsia="zh-CN" w:bidi="ar-SA"/>
        </w:rPr>
        <w:t>2.一般公共预算财政拨款支出决算具体情况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1.“一般公共服务支出”（类）2021年度决算1208941.78元，比2021年年初预算1107840.01元增加101101.77元，增加9.13%，原因是追加人员工资社保。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2.“教育支出”（类）2021年度决算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元，比2021年年初预算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3.“科学技术支出”（类）2021年度决算5441702.00元，比2021年年初预算5078048.00元增加363654元，增加7.16%，主要原因增加西城区2021年三网合一网格调整项目经费。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4.“社会保障和就业支出”(类)2021年度决算3432618.92元，比2021年年初预算3418775.92元增加13843元，增加0.4%。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.“卫生健康支出” (类)2021年度决算1980844.22元，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2021年年初预算1797247.79元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增加183596.43元，增加10.22%，主要原因追加医保经费。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城乡社区支出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”（类）2021年度决算40285770.22元，比2021年年初预算45492311.45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5206541.23元，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减少11.44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原因：有部分项目经费调减。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7.“住房保障支出”（类）2021年度决算3609831.96元，比2021年年初预算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3683049.96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元减少73218元，减少1.99%。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.政府性基金预算财政拨款支出0元：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（1）基本支出决算0元。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（2）项目支出决算0元。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Times New Roman"/>
          <w:sz w:val="32"/>
          <w:szCs w:val="32"/>
        </w:rPr>
        <w:t>2021年度财政拨款基本支出经济分类决算情况说明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本部门使用一般公共预算财政拨款安排基本支出26450842.38元，使用政府性基金财政拨款安排基本支出0万元，其中：（1）工资福利支出25597123.23元（包括：基本工资、津贴补贴、奖金、其他社会保障缴费、机关事业单位基本养老缴费、职业年金缴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职工基本医疗保险缴费、住房公积金、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其他工资福利支出）；（2）商品和服务支出748539.15元（包括办公费、印刷费、邮电费、差旅费、维修（护）费、劳务费、委托业务费、工会经费、福利费、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税金及附加费用、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其他商品和服务支出）；（3）对个人和家庭补助支出105180.00元（包括退休费、其他对个人和家庭的补助等支出）。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支出的主要项目是：① 12345市民热线西城分中心热线服务项目经费；②城市大脑临时政务云环境租用服务经费；③ 西城区城市运行管理系统运维经费；④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西城区接诉即办系统项目经费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12345热线西城分中心服务外包项目以前年度余款；⑦</w:t>
      </w:r>
      <w:r>
        <w:rPr>
          <w:rFonts w:hint="eastAsia" w:ascii="仿宋_GB2312" w:hAnsi="仿宋_GB2312" w:eastAsia="仿宋_GB2312" w:cs="仿宋_GB2312"/>
          <w:sz w:val="32"/>
          <w:szCs w:val="32"/>
        </w:rPr>
        <w:t>西城区市民热线技术服务经费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；⑧接诉即办第三方评估项目以前年度余款。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四、部门“三公”经费财政拨款支出情况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“三公”经费支出单位包括1个所属单位，即西城区城市管理指挥中心。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年部门决算中“三公”经费财政拨款支出情况及与上年对比原因说明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年部门决算“三公”经费财政拨款支出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比2021年部门预算数851.81元减少851.81元，与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年财政拨款因公出国（境）费支出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因公出国（境）团组情况：本年度本单位使用公共预算财政拨款安排的出国（境）团组0个，参加其他单位组织的出国（境）团组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个；全年因公出国（境）累计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年财政拨款公务接待费支出0元，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2021年预算数851.81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元减少851.81元，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本年度本单位使用公共预算财政拨款支出的国内公务接待0批次，0人次，共0元；外事接待0批次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年财政拨款公务用车购置及运行维护费支出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2021年预算数和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年公务用车购置费0元，与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年公务用车购置费一致。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，主要原因是公务用车改革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，我单位公务用车保有量为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年公务用车运行维护费中，公务用车加油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万元，公务用车维修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万元，公务用车其他支出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万元。本年度本单位使用公共预算财政拨款购置公务用车0辆，年末公共预算财政拨款开支运行维护费的公务用车保有量0辆。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（一）政府采购决算说明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府采购货物支出10994元，政府采购工程支出0元，政府采购服务支出17389165.63元。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（二）政府购买服务决算说明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政府购买服务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（三）行政运行经费决算说明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年本部门履行一般行政事业管理职能、维持机关运行，用于一般公共预算安排的行政运行经费，合计1047365.29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年行政运行经费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减少298826.14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减少28.53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树立过紧日子思想节约资金使用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（四）项目支出绩效目标情况说明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1.12345市民服务热线外包项目：12345市民服务热线西城分中心采用政府购买服务方式，聘用专业团队负责市民热线诉求处置各项工作。市民服务热线实行“接诉即办”后，热线诉求的响应速度更快、处置效率更高，市民对诉求办理结果要求更高。聘用联通专业团队受理市中心转派分中心案件，12345西城分中心及时转办市中心派发的群众诉求、对办理情况进行全程督办，并以电话回访的形式将办理结果对市民进行反馈，同时通过系统将办理回访结果反馈给承办单位，督促其继续办理来点人诉求，大大提高了群众诉求办理效率、使市民诉求得以更好的解决，从而提升群众满意率、提高了政府行政效能。热线服务外包，能充分依托社会服务力量，更加细致有效地做好市民诉求问题的派发和回访工作，进一步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城市大脑临时政务云环境租用服务项目：目标1租用阿里政务云基础云资源，用于智能感知、智能调度等应用服务主机和视频事件分析处理提供云主机资源服务。目标2租用阿里政务云大数据服务资源，用于智能感知、智能调度、基础数据等云数据管理和云数据存储服务等政务云产品资源服务。目标3租用视频动态分析服务器及视频网关，以提供满足200路并发视频计算能力服务。目标4联通专线租用，用于北京市西城区政务网与阿里政务云间的专属链路传输，包括阿里政务云端口开通服务及专线租用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西城区接诉即办系统项目：此项目建成全方位诉求受理平台。以12345热线为核心，汇聚各方面诉求受理，全方位受理热线电话、APP、网络等多个来源渠道的诉求统一汇聚，包括12345热线、西城家园APP、区长信箱、人民网诉求、区委网信办、区委督查室诉求等。结合AI人工智能，实现诉求受理的智能推荐分类、智能推荐打标签、智能地址匹配、快速落图。项目已于2021年9月28日完成项目终验工作，进入运维质保期。系统知识库、BI看板功能、移动APP模块均已上线。可按照系统设计目标的目标实现案件派发、数据分析、移动办理、自动报表、知识点汇总等相关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接诉即办第三方评估项目以前年度余款：通过第三方调查研究、案件评查、数据分析、察访核验等，全方位、多角度评估西城区接诉即办工作情况，梳理体制机制、管理方法、案件办理过程、各项工作流程等方面存在的问题，促进西城区接诉即办工作进一步规范化、制度化。北京元方智库咨询有限公司在近一年多的服务时间中，对西城区接诉即办开展了深入的分析，探讨了疑难问题，提出解决思路对策，为优化改进“接诉即办”工作提供了针对性的意见建议。在按期完成项目服务内容之外，通过开展“最美办件人评优活动”等充分发挥先进典型的示范引领和辐射作用。在西城区城指中心的指导和协助下，对历史派单工单逐一评查，编排形成最终派单目录模板，极大提升西城区热线派件准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接诉即办工作第三方评估项目：对街道委办局走访调研、对一千余件诉求案件分析评查，搭建数据分析模型，研判剔除报送1.7万件，支撑月度复盘分析，实地调研事项46类，察访核验459处，形成15余份分析报告等，从数据中挖掘潜在规律、发现影响因素、预判风险隐患，为西城区“接诉即办”工作查找各个环节存在问题，全方位、多角度深入分析原因并研究解决对策，促进西城区“接诉即办”工作更加规范化、制度化，优化提升整体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工作经费：完成信息化城市管理工作任务；接诉即办工作年度排名全市第一；疫情原因，会议及监督员接线员业务培训采取视频形式开展；完成调研文稿5份、市民热线季度情况分析4份及城市管理履职满意度调查2次；城市管理公众参与度比上一年有了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（五）重点行政事业性收费情况说明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我单位没有行政事业性收费项目。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我单位没有国有资本经营预算财政拨款项目。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，本部门固定资产总额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43563660.39元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其中：车辆0台、0万元；单位价值50万元以上的通用设备0万元；单位价值100万元以上的专用设备0万元。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（八）重点预算项目绩效评价结果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开展12345市民热线西城分中心热线服务项目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2021年部门预算支出绩效评价得分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分，其中：项目资金即预算执行率得分9.24分；产出指标得分46.38分；社会效益指标得分30分；满意度指标得分8分，绩效评定级别为“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（一）“三公”经费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部门预算中的因公出国（境）费、公务接待费、公务用车购置及运行维护费。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（二）行政运行经费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表1：</w:t>
      </w:r>
    </w:p>
    <w:p>
      <w:pPr>
        <w:jc w:val="center"/>
        <w:rPr>
          <w:rFonts w:hint="eastAsia" w:ascii="方正小标宋简体" w:hAnsi="Calibri" w:eastAsia="方正小标宋简体"/>
          <w:sz w:val="36"/>
          <w:shd w:val="clear" w:color="auto" w:fill="auto"/>
          <w:lang w:val="en-US" w:eastAsia="zh-CN"/>
        </w:rPr>
      </w:pPr>
      <w:r>
        <w:rPr>
          <w:rFonts w:hint="eastAsia" w:ascii="方正小标宋简体" w:hAnsi="Calibri" w:eastAsia="方正小标宋简体"/>
          <w:sz w:val="36"/>
          <w:shd w:val="clear" w:color="auto" w:fill="auto"/>
          <w:lang w:val="en-US" w:eastAsia="zh-CN"/>
        </w:rPr>
        <w:t>2021年部门收支总体情况表</w:t>
      </w:r>
    </w:p>
    <w:p>
      <w:pPr>
        <w:jc w:val="left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sz w:val="28"/>
          <w:szCs w:val="28"/>
        </w:rPr>
        <w:t>单位名称：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 xml:space="preserve">北京市西城区城市管理指挥中心 </w:t>
      </w:r>
      <w:r>
        <w:rPr>
          <w:rFonts w:hint="eastAsia" w:ascii="楷体_GB2312" w:hAnsi="宋体" w:eastAsia="楷体_GB2312"/>
          <w:sz w:val="28"/>
          <w:szCs w:val="28"/>
        </w:rPr>
        <w:t xml:space="preserve">             单位：元</w:t>
      </w:r>
    </w:p>
    <w:tbl>
      <w:tblPr>
        <w:tblStyle w:val="6"/>
        <w:tblW w:w="97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528"/>
        <w:gridCol w:w="2910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支出决算金额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55,959,709.10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一般公共预算收入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一般公共服务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1,107,840.01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政府性基金预算收入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69,360.00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5,078,048.00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财政专户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3,418,775.92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行政事业性收费收入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卫生健康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1,797,247.79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其他预算外收入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45,492,311.45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3,683,049.96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74" w:bottom="1701" w:left="1588" w:header="851" w:footer="992" w:gutter="0"/>
          <w:cols w:space="720" w:num="1"/>
          <w:docGrid w:type="lines" w:linePitch="435" w:charSpace="0"/>
        </w:sectPr>
      </w:pPr>
    </w:p>
    <w:p>
      <w:pPr>
        <w:rPr>
          <w:rFonts w:hint="eastAsia" w:ascii="黑体" w:hAnsi="黑体" w:eastAsia="黑体"/>
          <w:shd w:val="clear" w:color="auto" w:fill="auto"/>
        </w:rPr>
      </w:pPr>
      <w:r>
        <w:rPr>
          <w:rFonts w:hint="eastAsia" w:ascii="黑体" w:hAnsi="黑体" w:eastAsia="黑体"/>
          <w:shd w:val="clear" w:color="auto" w:fill="auto"/>
        </w:rPr>
        <w:t xml:space="preserve">表2:                                  </w:t>
      </w:r>
    </w:p>
    <w:p>
      <w:pPr>
        <w:jc w:val="center"/>
        <w:rPr>
          <w:rFonts w:hint="eastAsia" w:ascii="Calibri" w:hAnsi="Calibri" w:eastAsia="宋体"/>
          <w:shd w:val="clear" w:color="auto" w:fill="auto"/>
        </w:rPr>
      </w:pPr>
      <w:r>
        <w:rPr>
          <w:rFonts w:hint="eastAsia" w:ascii="方正小标宋简体" w:hAnsi="Calibri" w:eastAsia="方正小标宋简体"/>
          <w:sz w:val="36"/>
          <w:shd w:val="clear" w:color="auto" w:fill="auto"/>
          <w:lang w:val="en-US" w:eastAsia="zh-CN"/>
        </w:rPr>
        <w:t>2021</w:t>
      </w:r>
      <w:r>
        <w:rPr>
          <w:rFonts w:hint="eastAsia" w:ascii="方正小标宋简体" w:hAnsi="Calibri" w:eastAsia="方正小标宋简体"/>
          <w:sz w:val="36"/>
          <w:shd w:val="clear" w:color="auto" w:fill="auto"/>
        </w:rPr>
        <w:t>年</w:t>
      </w:r>
      <w:r>
        <w:rPr>
          <w:rFonts w:hint="eastAsia" w:ascii="方正小标宋简体" w:hAnsi="Calibri" w:eastAsia="方正小标宋简体"/>
          <w:sz w:val="36"/>
          <w:shd w:val="clear" w:color="auto" w:fill="auto"/>
          <w:lang w:eastAsia="zh-CN"/>
        </w:rPr>
        <w:t>部门</w:t>
      </w:r>
      <w:r>
        <w:rPr>
          <w:rFonts w:hint="eastAsia" w:ascii="方正小标宋简体" w:hAnsi="Calibri" w:eastAsia="方正小标宋简体"/>
          <w:sz w:val="36"/>
          <w:shd w:val="clear" w:color="auto" w:fill="auto"/>
        </w:rPr>
        <w:t>收入</w:t>
      </w:r>
      <w:r>
        <w:rPr>
          <w:rFonts w:hint="eastAsia" w:ascii="方正小标宋简体" w:hAnsi="Calibri" w:eastAsia="方正小标宋简体"/>
          <w:sz w:val="36"/>
          <w:shd w:val="clear" w:color="auto" w:fill="auto"/>
          <w:lang w:eastAsia="zh-CN"/>
        </w:rPr>
        <w:t>总体情况</w:t>
      </w:r>
      <w:r>
        <w:rPr>
          <w:rFonts w:hint="eastAsia" w:ascii="方正小标宋简体" w:hAnsi="Calibri" w:eastAsia="方正小标宋简体"/>
          <w:sz w:val="36"/>
          <w:shd w:val="clear" w:color="auto" w:fill="auto"/>
        </w:rPr>
        <w:t>表</w:t>
      </w:r>
    </w:p>
    <w:p>
      <w:pPr>
        <w:rPr>
          <w:rFonts w:ascii="Calibri" w:hAnsi="Calibri" w:eastAsia="宋体"/>
          <w:sz w:val="21"/>
          <w:szCs w:val="22"/>
          <w:shd w:val="clear" w:color="auto" w:fill="auto"/>
        </w:rPr>
      </w:pPr>
      <w:r>
        <w:rPr>
          <w:rFonts w:hint="eastAsia" w:ascii="Calibri" w:hAnsi="Calibri" w:eastAsia="宋体"/>
          <w:sz w:val="21"/>
          <w:szCs w:val="22"/>
          <w:shd w:val="clear" w:color="auto" w:fill="auto"/>
        </w:rPr>
        <w:t>单位名称：</w:t>
      </w:r>
      <w:r>
        <w:rPr>
          <w:rFonts w:hint="eastAsia" w:ascii="Calibri" w:hAnsi="Calibri" w:eastAsia="宋体"/>
          <w:sz w:val="21"/>
          <w:szCs w:val="22"/>
          <w:shd w:val="clear" w:color="auto" w:fill="auto"/>
          <w:lang w:eastAsia="zh-CN"/>
        </w:rPr>
        <w:t xml:space="preserve">北京市西城区城市管理指挥中心 </w:t>
      </w:r>
      <w:r>
        <w:rPr>
          <w:rFonts w:hint="eastAsia" w:ascii="Calibri" w:hAnsi="Calibri" w:eastAsia="宋体"/>
          <w:sz w:val="21"/>
          <w:szCs w:val="22"/>
          <w:shd w:val="clear" w:color="auto" w:fill="auto"/>
        </w:rPr>
        <w:t xml:space="preserve">                                                                            单位：元</w:t>
      </w:r>
    </w:p>
    <w:tbl>
      <w:tblPr>
        <w:tblStyle w:val="6"/>
        <w:tblW w:w="146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353"/>
        <w:gridCol w:w="353"/>
        <w:gridCol w:w="5685"/>
        <w:gridCol w:w="1871"/>
        <w:gridCol w:w="1962"/>
        <w:gridCol w:w="767"/>
        <w:gridCol w:w="988"/>
        <w:gridCol w:w="913"/>
        <w:gridCol w:w="715"/>
        <w:gridCol w:w="657"/>
      </w:tblGrid>
      <w:tr>
        <w:tblPrEx>
          <w:shd w:val="clear" w:color="auto" w:fill="auto"/>
        </w:tblPrEx>
        <w:trPr>
          <w:trHeight w:val="318" w:hRule="atLeast"/>
        </w:trPr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本年收入合计 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财政拨款收入 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上级补助收入 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事业收入 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经营收入 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附属单位上缴收入 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其他收入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114,623.00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114,623.00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2,211,997.28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2,211,997.28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1,884,399.82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1,884,399.82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96,444.40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96,444.40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1,772,754.00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1,772,754.00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rPr>
          <w:rFonts w:ascii="Calibri" w:hAnsi="Calibri" w:eastAsia="宋体"/>
          <w:sz w:val="21"/>
          <w:szCs w:val="22"/>
          <w:shd w:val="clear" w:color="auto" w:fill="auto"/>
        </w:rPr>
      </w:pPr>
    </w:p>
    <w:p>
      <w:pPr>
        <w:rPr>
          <w:rFonts w:hint="eastAsia" w:ascii="Calibri" w:hAnsi="Calibri" w:eastAsia="宋体"/>
        </w:rPr>
      </w:pPr>
      <w:r>
        <w:rPr>
          <w:shd w:val="clear" w:color="auto" w:fill="auto"/>
        </w:rPr>
        <w:br w:type="page"/>
      </w:r>
      <w:r>
        <w:rPr>
          <w:rFonts w:hint="eastAsia" w:ascii="黑体" w:hAnsi="黑体" w:eastAsia="黑体"/>
        </w:rPr>
        <w:t>表3：</w:t>
      </w:r>
    </w:p>
    <w:p>
      <w:pPr>
        <w:jc w:val="center"/>
        <w:rPr>
          <w:rFonts w:ascii="方正小标宋简体" w:hAnsi="Calibri" w:eastAsia="方正小标宋简体"/>
          <w:sz w:val="36"/>
        </w:rPr>
      </w:pPr>
      <w:r>
        <w:rPr>
          <w:rFonts w:hint="eastAsia" w:ascii="方正小标宋简体" w:hAnsi="Calibri" w:eastAsia="方正小标宋简体"/>
          <w:sz w:val="36"/>
          <w:lang w:val="en-US" w:eastAsia="zh-CN"/>
        </w:rPr>
        <w:t>2021</w:t>
      </w:r>
      <w:r>
        <w:rPr>
          <w:rFonts w:hint="eastAsia" w:ascii="方正小标宋简体" w:hAnsi="Calibri" w:eastAsia="方正小标宋简体"/>
          <w:sz w:val="36"/>
        </w:rPr>
        <w:t>年</w:t>
      </w:r>
      <w:r>
        <w:rPr>
          <w:rFonts w:hint="eastAsia" w:ascii="方正小标宋简体" w:hAnsi="Calibri" w:eastAsia="方正小标宋简体"/>
          <w:sz w:val="36"/>
          <w:lang w:eastAsia="zh-CN"/>
        </w:rPr>
        <w:t>部门</w:t>
      </w:r>
      <w:r>
        <w:rPr>
          <w:rFonts w:hint="eastAsia" w:ascii="方正小标宋简体" w:hAnsi="Calibri" w:eastAsia="方正小标宋简体"/>
          <w:sz w:val="36"/>
        </w:rPr>
        <w:t>支出</w:t>
      </w:r>
      <w:r>
        <w:rPr>
          <w:rFonts w:hint="eastAsia" w:ascii="方正小标宋简体" w:hAnsi="Calibri" w:eastAsia="方正小标宋简体"/>
          <w:sz w:val="36"/>
          <w:lang w:eastAsia="zh-CN"/>
        </w:rPr>
        <w:t>总体情况</w:t>
      </w:r>
      <w:r>
        <w:rPr>
          <w:rFonts w:hint="eastAsia" w:ascii="方正小标宋简体" w:hAnsi="Calibri" w:eastAsia="方正小标宋简体"/>
          <w:sz w:val="36"/>
        </w:rPr>
        <w:t>表</w:t>
      </w:r>
    </w:p>
    <w:p>
      <w:pPr>
        <w:rPr>
          <w:rFonts w:ascii="Calibri" w:hAnsi="Calibri" w:eastAsia="宋体"/>
          <w:sz w:val="21"/>
          <w:szCs w:val="22"/>
        </w:rPr>
      </w:pPr>
      <w:r>
        <w:rPr>
          <w:rFonts w:hint="eastAsia" w:ascii="Calibri" w:hAnsi="Calibri" w:eastAsia="宋体"/>
          <w:sz w:val="21"/>
          <w:szCs w:val="22"/>
        </w:rPr>
        <w:t>单位名称：</w:t>
      </w:r>
      <w:r>
        <w:rPr>
          <w:rFonts w:hint="eastAsia" w:ascii="Calibri" w:hAnsi="Calibri" w:eastAsia="宋体"/>
          <w:sz w:val="21"/>
          <w:szCs w:val="22"/>
          <w:lang w:eastAsia="zh-CN"/>
        </w:rPr>
        <w:t xml:space="preserve">北京市西城区城市管理指挥中心 </w:t>
      </w:r>
      <w:r>
        <w:rPr>
          <w:rFonts w:hint="eastAsia" w:ascii="Calibri" w:hAnsi="Calibri" w:eastAsia="宋体"/>
          <w:sz w:val="21"/>
          <w:szCs w:val="22"/>
        </w:rPr>
        <w:t xml:space="preserve">                                                                          单位：元</w:t>
      </w:r>
    </w:p>
    <w:tbl>
      <w:tblPr>
        <w:tblStyle w:val="6"/>
        <w:tblW w:w="1516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306"/>
        <w:gridCol w:w="306"/>
        <w:gridCol w:w="4422"/>
        <w:gridCol w:w="1871"/>
        <w:gridCol w:w="1733"/>
        <w:gridCol w:w="1871"/>
        <w:gridCol w:w="1379"/>
        <w:gridCol w:w="947"/>
        <w:gridCol w:w="20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本年支出合计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基本支出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项目支出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4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26,450,842.38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29,508,866.72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114,623.00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114,623.00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2,211,997.28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2,211,997.28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1,884,399.82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1,884,399.82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96,444.40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96,444.40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5,280.00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5,280.00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1,772,754.00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1,772,754.00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tcMar>
              <w:top w:w="6" w:type="dxa"/>
              <w:left w:w="6" w:type="dxa"/>
              <w:right w:w="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</w:tbl>
    <w:p/>
    <w:p/>
    <w:p/>
    <w:p/>
    <w:p/>
    <w:p>
      <w:pPr>
        <w:rPr>
          <w:rFonts w:hint="eastAsia"/>
        </w:rPr>
        <w:sectPr>
          <w:pgSz w:w="16838" w:h="11906" w:orient="landscape"/>
          <w:pgMar w:top="1418" w:right="1440" w:bottom="1560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表4：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Calibri" w:eastAsia="方正小标宋简体"/>
          <w:sz w:val="36"/>
          <w:lang w:val="en-US" w:eastAsia="zh-CN"/>
        </w:rPr>
      </w:pP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2021</w:t>
      </w:r>
      <w:r>
        <w:rPr>
          <w:rFonts w:hint="eastAsia" w:ascii="楷体_GB2312" w:hAnsi="宋体" w:eastAsia="楷体_GB2312"/>
          <w:b/>
          <w:sz w:val="36"/>
          <w:szCs w:val="36"/>
        </w:rPr>
        <w:t>年政府采购情况表</w:t>
      </w:r>
    </w:p>
    <w:tbl>
      <w:tblPr>
        <w:tblStyle w:val="6"/>
        <w:tblpPr w:leftFromText="180" w:rightFromText="180" w:vertAnchor="text" w:horzAnchor="page" w:tblpX="988" w:tblpY="343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713"/>
        <w:gridCol w:w="2305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政府采购支出合计</w:t>
            </w:r>
          </w:p>
        </w:tc>
        <w:tc>
          <w:tcPr>
            <w:tcW w:w="2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政府采购货物支出</w:t>
            </w:r>
          </w:p>
        </w:tc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政府采购工程支出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政府采购服务支出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17,400,159.63</w:t>
            </w:r>
          </w:p>
        </w:tc>
        <w:tc>
          <w:tcPr>
            <w:tcW w:w="27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10,994.00</w:t>
            </w:r>
          </w:p>
        </w:tc>
        <w:tc>
          <w:tcPr>
            <w:tcW w:w="23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17,389,165.63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Calibri" w:eastAsia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hAnsi="Calibri" w:eastAsia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hAnsi="Calibri" w:eastAsia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hAnsi="Calibri" w:eastAsia="方正小标宋简体"/>
          <w:sz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表5</w:t>
      </w:r>
    </w:p>
    <w:p>
      <w:pPr>
        <w:jc w:val="center"/>
        <w:rPr>
          <w:rFonts w:hint="eastAsia" w:ascii="方正小标宋简体" w:hAnsi="Calibri" w:eastAsia="方正小标宋简体"/>
          <w:sz w:val="36"/>
          <w:lang w:val="en-US" w:eastAsia="zh-CN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/>
          <w:sz w:val="36"/>
          <w:szCs w:val="36"/>
        </w:rPr>
        <w:t>年政府购买服务支出情况表</w:t>
      </w:r>
    </w:p>
    <w:p>
      <w:pPr>
        <w:ind w:right="105"/>
        <w:jc w:val="center"/>
        <w:rPr>
          <w:rFonts w:hint="eastAsia" w:ascii="楷体_GB2312" w:hAnsi="宋体" w:eastAsia="楷体_GB2312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hint="eastAsia" w:ascii="楷体_GB2312" w:hAnsi="宋体" w:eastAsia="楷体_GB2312"/>
          <w:sz w:val="20"/>
          <w:szCs w:val="20"/>
        </w:rPr>
        <w:t xml:space="preserve">  单位：元</w:t>
      </w:r>
    </w:p>
    <w:tbl>
      <w:tblPr>
        <w:tblStyle w:val="6"/>
        <w:tblW w:w="13500" w:type="dxa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3"/>
        <w:gridCol w:w="1093"/>
        <w:gridCol w:w="1093"/>
        <w:gridCol w:w="1093"/>
        <w:gridCol w:w="1093"/>
        <w:gridCol w:w="1093"/>
        <w:gridCol w:w="1093"/>
        <w:gridCol w:w="1638"/>
        <w:gridCol w:w="925"/>
        <w:gridCol w:w="1391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一级项目名称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二级构成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三级明细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一级目录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二级目录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三级目录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政府功能分类科目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承接主体性质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方正小标宋简体" w:hAnsi="宋体" w:eastAsia="方正小标宋简体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本部门因没有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政府购买服务</w:t>
      </w:r>
      <w:r>
        <w:rPr>
          <w:rFonts w:hint="eastAsia" w:ascii="仿宋_GB2312" w:eastAsia="仿宋_GB2312"/>
          <w:sz w:val="28"/>
          <w:szCs w:val="28"/>
        </w:rPr>
        <w:t>，故没有数据</w:t>
      </w:r>
    </w:p>
    <w:p>
      <w:pPr>
        <w:jc w:val="left"/>
        <w:rPr>
          <w:rFonts w:hint="eastAsia" w:ascii="黑体" w:hAnsi="黑体" w:eastAsia="黑体" w:cs="Arial"/>
          <w:color w:val="000000"/>
          <w:kern w:val="0"/>
          <w:szCs w:val="28"/>
        </w:rPr>
      </w:pPr>
      <w:r>
        <w:rPr>
          <w:rFonts w:hint="eastAsia" w:ascii="黑体" w:hAnsi="黑体" w:eastAsia="黑体" w:cs="Arial"/>
          <w:color w:val="000000"/>
          <w:kern w:val="0"/>
          <w:szCs w:val="28"/>
        </w:rPr>
        <w:t>表</w:t>
      </w:r>
      <w:r>
        <w:rPr>
          <w:rFonts w:hint="eastAsia" w:ascii="黑体" w:hAnsi="黑体" w:eastAsia="黑体" w:cs="Arial"/>
          <w:color w:val="000000"/>
          <w:kern w:val="0"/>
          <w:szCs w:val="28"/>
          <w:lang w:val="en-US" w:eastAsia="zh-CN"/>
        </w:rPr>
        <w:t>6</w:t>
      </w:r>
      <w:r>
        <w:rPr>
          <w:rFonts w:hint="eastAsia" w:ascii="黑体" w:hAnsi="黑体" w:eastAsia="黑体" w:cs="Arial"/>
          <w:color w:val="000000"/>
          <w:kern w:val="0"/>
          <w:szCs w:val="28"/>
        </w:rPr>
        <w:t>：</w:t>
      </w:r>
    </w:p>
    <w:p>
      <w:pPr>
        <w:jc w:val="left"/>
        <w:rPr>
          <w:rFonts w:hint="eastAsia" w:ascii="黑体" w:hAnsi="黑体" w:eastAsia="黑体" w:cs="Arial"/>
          <w:color w:val="000000"/>
          <w:kern w:val="0"/>
          <w:szCs w:val="28"/>
        </w:rPr>
      </w:pPr>
    </w:p>
    <w:p>
      <w:pPr>
        <w:jc w:val="center"/>
        <w:rPr>
          <w:rFonts w:ascii="方正小标宋简体" w:hAnsi="Calibri" w:eastAsia="方正小标宋简体"/>
          <w:sz w:val="36"/>
        </w:rPr>
      </w:pPr>
      <w:r>
        <w:rPr>
          <w:rFonts w:hint="eastAsia" w:ascii="方正小标宋简体" w:hAnsi="Calibri" w:eastAsia="方正小标宋简体"/>
          <w:sz w:val="36"/>
          <w:lang w:val="en-US" w:eastAsia="zh-CN"/>
        </w:rPr>
        <w:t>2021</w:t>
      </w:r>
      <w:r>
        <w:rPr>
          <w:rFonts w:hint="eastAsia" w:ascii="方正小标宋简体" w:hAnsi="Calibri" w:eastAsia="方正小标宋简体"/>
          <w:sz w:val="36"/>
        </w:rPr>
        <w:t>年财政拨款收支</w:t>
      </w:r>
      <w:r>
        <w:rPr>
          <w:rFonts w:hint="eastAsia" w:ascii="方正小标宋简体" w:hAnsi="Calibri" w:eastAsia="方正小标宋简体"/>
          <w:sz w:val="36"/>
          <w:lang w:eastAsia="zh-CN"/>
        </w:rPr>
        <w:t>总体情况</w:t>
      </w:r>
      <w:r>
        <w:rPr>
          <w:rFonts w:hint="eastAsia" w:ascii="方正小标宋简体" w:hAnsi="Calibri" w:eastAsia="方正小标宋简体"/>
          <w:sz w:val="36"/>
        </w:rPr>
        <w:t>表</w:t>
      </w:r>
    </w:p>
    <w:p>
      <w:pPr>
        <w:ind w:right="105"/>
        <w:jc w:val="left"/>
        <w:rPr>
          <w:rFonts w:ascii="Calibri" w:hAnsi="Calibri" w:eastAsia="宋体"/>
          <w:sz w:val="21"/>
          <w:szCs w:val="22"/>
        </w:rPr>
      </w:pPr>
      <w:r>
        <w:rPr>
          <w:rFonts w:hint="eastAsia" w:ascii="Calibri" w:hAnsi="Calibri" w:eastAsia="宋体"/>
          <w:sz w:val="21"/>
          <w:szCs w:val="22"/>
        </w:rPr>
        <w:t>单位名称：</w:t>
      </w:r>
      <w:r>
        <w:rPr>
          <w:rFonts w:hint="eastAsia" w:ascii="Calibri" w:hAnsi="Calibri" w:eastAsia="宋体"/>
          <w:sz w:val="21"/>
          <w:szCs w:val="22"/>
          <w:lang w:eastAsia="zh-CN"/>
        </w:rPr>
        <w:t xml:space="preserve">北京市西城区城市管理指挥中心 </w:t>
      </w:r>
      <w:r>
        <w:rPr>
          <w:rFonts w:hint="eastAsia" w:ascii="Calibri" w:hAnsi="Calibri" w:eastAsia="宋体"/>
          <w:sz w:val="21"/>
          <w:szCs w:val="22"/>
        </w:rPr>
        <w:t xml:space="preserve">                            单位：元</w:t>
      </w:r>
    </w:p>
    <w:tbl>
      <w:tblPr>
        <w:tblStyle w:val="6"/>
        <w:tblW w:w="10349" w:type="dxa"/>
        <w:tblInd w:w="-743" w:type="dxa"/>
        <w:shd w:val="clear" w:color="auto" w:fill="C7EDCC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559"/>
        <w:gridCol w:w="2835"/>
        <w:gridCol w:w="1559"/>
        <w:gridCol w:w="1560"/>
      </w:tblGrid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595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836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项   目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项   目(按功能分类)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一般公共预算 财政拨款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政府性基金 预算财政拨款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left="500" w:hanging="500" w:hangingChars="2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二、科学技术支出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卫生健康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45,492,311.45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六、住房保障支出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3,683,049.96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C7ED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年初财政拨款结转和结余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年末财政拨款结转和结余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right="10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left="128" w:leftChars="61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总     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总    计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Calibri" w:hAnsi="Calibri" w:eastAsia="宋体"/>
          <w:sz w:val="21"/>
          <w:szCs w:val="22"/>
        </w:rPr>
      </w:pPr>
    </w:p>
    <w:p>
      <w:r>
        <w:br w:type="page"/>
      </w:r>
    </w:p>
    <w:tbl>
      <w:tblPr>
        <w:tblStyle w:val="6"/>
        <w:tblW w:w="9567" w:type="dxa"/>
        <w:tblInd w:w="-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37"/>
        <w:gridCol w:w="477"/>
        <w:gridCol w:w="2947"/>
        <w:gridCol w:w="1842"/>
        <w:gridCol w:w="776"/>
        <w:gridCol w:w="924"/>
        <w:gridCol w:w="721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黑体" w:hAnsi="黑体" w:eastAsia="黑体" w:cs="Arial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Cs w:val="28"/>
              </w:rPr>
              <w:t>表</w:t>
            </w:r>
            <w:r>
              <w:rPr>
                <w:rFonts w:hint="eastAsia" w:ascii="黑体" w:hAnsi="黑体" w:eastAsia="黑体" w:cs="Arial"/>
                <w:color w:val="000000"/>
                <w:kern w:val="0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方正小标宋简体" w:hAnsi="Arial" w:eastAsia="方正小标宋简体" w:cs="Arial"/>
                <w:color w:val="000000"/>
                <w:kern w:val="0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kern w:val="0"/>
                <w:sz w:val="36"/>
                <w:lang w:val="en-US" w:eastAsia="zh-CN"/>
              </w:rPr>
              <w:t>2021</w:t>
            </w:r>
            <w:r>
              <w:rPr>
                <w:rFonts w:hint="eastAsia" w:ascii="方正小标宋简体" w:hAnsi="宋体" w:eastAsia="方正小标宋简体" w:cs="Arial"/>
                <w:color w:val="000000"/>
                <w:kern w:val="0"/>
                <w:sz w:val="36"/>
              </w:rPr>
              <w:t>年一般公共预算财政拨款支出</w:t>
            </w:r>
            <w:r>
              <w:rPr>
                <w:rFonts w:hint="eastAsia" w:ascii="方正小标宋简体" w:hAnsi="宋体" w:eastAsia="方正小标宋简体" w:cs="Arial"/>
                <w:color w:val="000000"/>
                <w:kern w:val="0"/>
                <w:sz w:val="36"/>
                <w:lang w:eastAsia="zh-CN"/>
              </w:rPr>
              <w:t>情况</w:t>
            </w:r>
            <w:r>
              <w:rPr>
                <w:rFonts w:hint="eastAsia" w:ascii="方正小标宋简体" w:hAnsi="宋体" w:eastAsia="方正小标宋简体" w:cs="Arial"/>
                <w:color w:val="000000"/>
                <w:kern w:val="0"/>
                <w:sz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单位名称：北京市西城区城市管理监督指挥中心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947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7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C7ED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55,959,709.10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26,450,842.38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29,508,866.72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1,208,941.78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5,441,702.00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3,432,618.92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114,623.00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114,623.00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2,211,997.28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2,211,997.28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1,884,399.82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1,884,399.82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96,444.40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96,444.40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40,285,770.22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2120209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16,218,605.50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24,067,164.72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3,609,831.96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5,280.00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Arial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</w:t>
      </w:r>
      <w:r>
        <w:rPr>
          <w:rFonts w:hint="eastAsia" w:ascii="黑体" w:hAnsi="黑体" w:eastAsia="黑体"/>
          <w:lang w:val="en-US" w:eastAsia="zh-CN"/>
        </w:rPr>
        <w:t>8</w:t>
      </w:r>
      <w:r>
        <w:rPr>
          <w:rFonts w:hint="eastAsia" w:ascii="黑体" w:hAnsi="黑体" w:eastAsia="黑体"/>
        </w:rPr>
        <w:t>：</w:t>
      </w:r>
    </w:p>
    <w:p>
      <w:pPr>
        <w:rPr>
          <w:rFonts w:hint="eastAsia" w:ascii="黑体" w:hAnsi="黑体" w:eastAsia="黑体"/>
        </w:rPr>
      </w:pPr>
    </w:p>
    <w:p>
      <w:pPr>
        <w:tabs>
          <w:tab w:val="center" w:pos="6979"/>
        </w:tabs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2021</w:t>
      </w:r>
      <w:r>
        <w:rPr>
          <w:rFonts w:hint="eastAsia" w:ascii="楷体_GB2312" w:hAnsi="宋体" w:eastAsia="楷体_GB2312"/>
          <w:b/>
          <w:sz w:val="36"/>
          <w:szCs w:val="36"/>
        </w:rPr>
        <w:t>年一般公共预算财政拨款基本支出决算表</w:t>
      </w:r>
    </w:p>
    <w:p>
      <w:pPr>
        <w:tabs>
          <w:tab w:val="center" w:pos="6979"/>
        </w:tabs>
        <w:jc w:val="left"/>
        <w:rPr>
          <w:rFonts w:asci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单位名称：西城区城市管理指挥中心                单位：元      </w:t>
      </w:r>
    </w:p>
    <w:tbl>
      <w:tblPr>
        <w:tblStyle w:val="6"/>
        <w:tblW w:w="8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695"/>
        <w:gridCol w:w="3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科目名称（款级）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一般公共预算财政拨款支出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25,597,123.23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3,247,083.00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15,020,182.50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52,928.00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30104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145,668.63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2,111,021.28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1,105,998.64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1,980,844.22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1,831,797.96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101,599.00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748,539.15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220,821.86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74,363.00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256,558.72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122,654.77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57,540.80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105,180.00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97,660.00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7,520.00</w:t>
            </w:r>
          </w:p>
        </w:tc>
      </w:tr>
    </w:tbl>
    <w:p>
      <w:pPr>
        <w:tabs>
          <w:tab w:val="center" w:pos="6979"/>
        </w:tabs>
        <w:rPr>
          <w:rFonts w:ascii="仿宋_GB2312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表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/>
          <w:sz w:val="36"/>
          <w:szCs w:val="36"/>
        </w:rPr>
        <w:t>政府性基金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预算财政拨款收支情况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单位名称：西城区城市管理指挥中心          单位：元</w:t>
      </w:r>
    </w:p>
    <w:tbl>
      <w:tblPr>
        <w:tblStyle w:val="6"/>
        <w:tblW w:w="0" w:type="auto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eastAsia="宋体"/>
          <w:sz w:val="21"/>
          <w:szCs w:val="24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本部门因没有政府性基金收入，故没有数据。</w:t>
      </w:r>
    </w:p>
    <w:p>
      <w:pPr>
        <w:jc w:val="left"/>
        <w:rPr>
          <w:rFonts w:hint="eastAsia" w:ascii="黑体" w:hAnsi="黑体" w:eastAsia="黑体"/>
          <w:szCs w:val="28"/>
        </w:rPr>
      </w:pPr>
    </w:p>
    <w:p>
      <w:pPr>
        <w:jc w:val="left"/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表</w:t>
      </w:r>
      <w:r>
        <w:rPr>
          <w:rFonts w:hint="eastAsia" w:ascii="黑体" w:hAnsi="黑体" w:eastAsia="黑体"/>
          <w:szCs w:val="28"/>
          <w:lang w:val="en-US" w:eastAsia="zh-CN"/>
        </w:rPr>
        <w:t>10</w:t>
      </w:r>
      <w:r>
        <w:rPr>
          <w:rFonts w:hint="eastAsia" w:ascii="黑体" w:hAnsi="黑体" w:eastAsia="黑体"/>
          <w:szCs w:val="28"/>
        </w:rPr>
        <w:t>：</w:t>
      </w:r>
    </w:p>
    <w:p>
      <w:pPr>
        <w:rPr>
          <w:rFonts w:eastAsia="宋体"/>
          <w:sz w:val="21"/>
          <w:szCs w:val="24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/>
          <w:sz w:val="36"/>
          <w:szCs w:val="36"/>
        </w:rPr>
        <w:t>年政府性基金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预算财政拨款基本支出情况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单位名称：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 xml:space="preserve">北京市西城区城市管理指挥中心 </w:t>
      </w:r>
      <w:r>
        <w:rPr>
          <w:rFonts w:hint="eastAsia" w:ascii="楷体_GB2312" w:hAnsi="宋体" w:eastAsia="楷体_GB2312"/>
          <w:sz w:val="28"/>
          <w:szCs w:val="28"/>
        </w:rPr>
        <w:t xml:space="preserve">         单位：元</w:t>
      </w:r>
    </w:p>
    <w:tbl>
      <w:tblPr>
        <w:tblStyle w:val="6"/>
        <w:tblW w:w="9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443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政府性基金预算财政拨款支出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680" w:firstLineChars="7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6" w:firstLineChars="600"/>
              <w:jc w:val="righ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680" w:firstLineChars="7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60" w:firstLineChars="65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0" w:firstLineChars="5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60" w:firstLineChars="6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 本部门因没有政府性基金收入，故没有数据。</w:t>
      </w:r>
    </w:p>
    <w:p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</w:p>
    <w:p>
      <w:pPr>
        <w:jc w:val="left"/>
        <w:rPr>
          <w:rFonts w:hint="eastAsia" w:ascii="黑体" w:hAnsi="黑体" w:eastAsia="黑体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  <w:lang w:val="en-US" w:eastAsia="zh-CN"/>
        </w:rPr>
        <w:t>表11</w:t>
      </w:r>
      <w:r>
        <w:rPr>
          <w:rFonts w:hint="eastAsia" w:ascii="黑体" w:hAnsi="黑体" w:eastAsia="黑体"/>
          <w:szCs w:val="28"/>
        </w:rPr>
        <w:t>：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163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274"/>
        <w:gridCol w:w="274"/>
        <w:gridCol w:w="3430"/>
        <w:gridCol w:w="1671"/>
        <w:gridCol w:w="1563"/>
        <w:gridCol w:w="1677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国有资本经营预算财政拨款支出决算表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52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编制单位：北京市西城区城市管理指挥中心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52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注：无此项支出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  <w:lang w:val="en-US" w:eastAsia="zh-CN"/>
        </w:rPr>
        <w:t>表12</w:t>
      </w:r>
      <w:r>
        <w:rPr>
          <w:rFonts w:hint="eastAsia" w:ascii="黑体" w:hAnsi="黑体" w:eastAsia="黑体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2021</w:t>
      </w:r>
      <w:r>
        <w:rPr>
          <w:rFonts w:hint="eastAsia" w:ascii="方正小标宋简体" w:eastAsia="方正小标宋简体"/>
          <w:sz w:val="36"/>
        </w:rPr>
        <w:t>年部门决算“三公”经费</w:t>
      </w: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财政拨款支出情况表</w:t>
      </w:r>
    </w:p>
    <w:p>
      <w:pPr>
        <w:jc w:val="center"/>
        <w:rPr>
          <w:rFonts w:hint="eastAsia" w:ascii="仿宋_GB2312" w:eastAsia="宋体"/>
          <w:b/>
          <w:sz w:val="44"/>
          <w:szCs w:val="44"/>
        </w:rPr>
      </w:pPr>
    </w:p>
    <w:p>
      <w:pPr>
        <w:widowControl/>
        <w:jc w:val="left"/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单位名称：北京市西城区城市管理指挥中心                             单位：元</w:t>
      </w:r>
    </w:p>
    <w:p>
      <w:pPr>
        <w:rPr>
          <w:rFonts w:eastAsia="宋体"/>
          <w:sz w:val="21"/>
          <w:szCs w:val="24"/>
        </w:rPr>
      </w:pPr>
    </w:p>
    <w:tbl>
      <w:tblPr>
        <w:tblStyle w:val="6"/>
        <w:tblW w:w="9551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40"/>
        <w:gridCol w:w="1440"/>
        <w:gridCol w:w="1440"/>
        <w:gridCol w:w="1260"/>
        <w:gridCol w:w="126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19" w:type="dxa"/>
            <w:vMerge w:val="restart"/>
            <w:noWrap w:val="0"/>
            <w:vAlign w:val="top"/>
          </w:tcPr>
          <w:p>
            <w:pPr>
              <w:rPr>
                <w:rFonts w:eastAsia="宋体"/>
                <w:sz w:val="21"/>
                <w:szCs w:val="24"/>
              </w:rPr>
            </w:pPr>
          </w:p>
          <w:p>
            <w:pPr>
              <w:rPr>
                <w:rFonts w:eastAsia="宋体"/>
                <w:sz w:val="21"/>
                <w:szCs w:val="24"/>
              </w:rPr>
            </w:pPr>
          </w:p>
          <w:p>
            <w:pPr>
              <w:rPr>
                <w:rFonts w:eastAsia="宋体"/>
                <w:sz w:val="21"/>
                <w:szCs w:val="24"/>
              </w:rPr>
            </w:pPr>
          </w:p>
          <w:p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合计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因公出国（境）费用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公务接待费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公务用车购置费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年决算数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年决算数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rFonts w:eastAsia="宋体"/>
          <w:sz w:val="21"/>
          <w:szCs w:val="24"/>
        </w:rPr>
      </w:pPr>
    </w:p>
    <w:p>
      <w:pPr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注：1、因公出国（境）费用含因公赴香港、澳门、台湾地区的费用。</w:t>
      </w:r>
    </w:p>
    <w:p>
      <w:pPr>
        <w:rPr>
          <w:rFonts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 xml:space="preserve">    2、公务用车购置费含更新公务用车费用。</w:t>
      </w:r>
    </w:p>
    <w:p>
      <w:pPr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jc w:val="center"/>
        <w:rPr>
          <w:rFonts w:ascii="仿宋_GB2312" w:eastAsia="宋体"/>
          <w:b/>
          <w:sz w:val="44"/>
          <w:szCs w:val="44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172A27"/>
    <w:rsid w:val="008961DA"/>
    <w:rsid w:val="0120006A"/>
    <w:rsid w:val="019D096C"/>
    <w:rsid w:val="01A95C3E"/>
    <w:rsid w:val="01CC25A9"/>
    <w:rsid w:val="01F05D93"/>
    <w:rsid w:val="01F95B76"/>
    <w:rsid w:val="020118D2"/>
    <w:rsid w:val="025142BB"/>
    <w:rsid w:val="02A40F42"/>
    <w:rsid w:val="02C33208"/>
    <w:rsid w:val="02C4457B"/>
    <w:rsid w:val="03540F4B"/>
    <w:rsid w:val="036C5257"/>
    <w:rsid w:val="038D0274"/>
    <w:rsid w:val="03D12FEC"/>
    <w:rsid w:val="03D31D31"/>
    <w:rsid w:val="04393919"/>
    <w:rsid w:val="04B70410"/>
    <w:rsid w:val="04ED6661"/>
    <w:rsid w:val="051916A7"/>
    <w:rsid w:val="05676CEC"/>
    <w:rsid w:val="058E75BE"/>
    <w:rsid w:val="05EB661B"/>
    <w:rsid w:val="05FB46B0"/>
    <w:rsid w:val="062508A0"/>
    <w:rsid w:val="07121AA3"/>
    <w:rsid w:val="072342B3"/>
    <w:rsid w:val="07BB77EB"/>
    <w:rsid w:val="080130B7"/>
    <w:rsid w:val="084F0C82"/>
    <w:rsid w:val="08ED32AE"/>
    <w:rsid w:val="091D3FF1"/>
    <w:rsid w:val="092B2462"/>
    <w:rsid w:val="0A035CD4"/>
    <w:rsid w:val="0ADC407B"/>
    <w:rsid w:val="0AEF2E4B"/>
    <w:rsid w:val="0B793F7F"/>
    <w:rsid w:val="0B924889"/>
    <w:rsid w:val="0BE6079F"/>
    <w:rsid w:val="0BEB2831"/>
    <w:rsid w:val="0C876AF1"/>
    <w:rsid w:val="0C8A5BA3"/>
    <w:rsid w:val="0C8B7DC2"/>
    <w:rsid w:val="0CD9583B"/>
    <w:rsid w:val="0D026BE6"/>
    <w:rsid w:val="0D086C74"/>
    <w:rsid w:val="0D6364B3"/>
    <w:rsid w:val="0DAE3DAD"/>
    <w:rsid w:val="0DC02B43"/>
    <w:rsid w:val="0E5A79E8"/>
    <w:rsid w:val="0EDD37C3"/>
    <w:rsid w:val="0F341A74"/>
    <w:rsid w:val="0F3F163D"/>
    <w:rsid w:val="0F404450"/>
    <w:rsid w:val="0F6743D3"/>
    <w:rsid w:val="0F793850"/>
    <w:rsid w:val="0FC61441"/>
    <w:rsid w:val="10003C4D"/>
    <w:rsid w:val="1012339C"/>
    <w:rsid w:val="10427F9E"/>
    <w:rsid w:val="108608D4"/>
    <w:rsid w:val="109721AD"/>
    <w:rsid w:val="10BB6B84"/>
    <w:rsid w:val="111C2766"/>
    <w:rsid w:val="111E29E3"/>
    <w:rsid w:val="115565E4"/>
    <w:rsid w:val="11B71760"/>
    <w:rsid w:val="126C4E7E"/>
    <w:rsid w:val="12717EEF"/>
    <w:rsid w:val="12A2636F"/>
    <w:rsid w:val="12BD18CC"/>
    <w:rsid w:val="12F051EF"/>
    <w:rsid w:val="134C2299"/>
    <w:rsid w:val="13D920CC"/>
    <w:rsid w:val="13DF7538"/>
    <w:rsid w:val="14807CBB"/>
    <w:rsid w:val="14FD6205"/>
    <w:rsid w:val="151C596D"/>
    <w:rsid w:val="152F3A5F"/>
    <w:rsid w:val="16083CA3"/>
    <w:rsid w:val="162A2F9C"/>
    <w:rsid w:val="16897927"/>
    <w:rsid w:val="16AC59C5"/>
    <w:rsid w:val="170B77EB"/>
    <w:rsid w:val="17111C1B"/>
    <w:rsid w:val="172F6AE8"/>
    <w:rsid w:val="17C82257"/>
    <w:rsid w:val="17CF183D"/>
    <w:rsid w:val="18053D61"/>
    <w:rsid w:val="18642EBA"/>
    <w:rsid w:val="188A1C7F"/>
    <w:rsid w:val="18C30456"/>
    <w:rsid w:val="19783BE2"/>
    <w:rsid w:val="19784AE7"/>
    <w:rsid w:val="19957C3F"/>
    <w:rsid w:val="1A180EE6"/>
    <w:rsid w:val="1A6F43DF"/>
    <w:rsid w:val="1AFE51A2"/>
    <w:rsid w:val="1B072562"/>
    <w:rsid w:val="1B5A48F1"/>
    <w:rsid w:val="1B810FCA"/>
    <w:rsid w:val="1C3676CD"/>
    <w:rsid w:val="1C4940D7"/>
    <w:rsid w:val="1CA4551E"/>
    <w:rsid w:val="1CA860CF"/>
    <w:rsid w:val="1CD25945"/>
    <w:rsid w:val="1D1618A5"/>
    <w:rsid w:val="1D6371F0"/>
    <w:rsid w:val="1D8C4FA5"/>
    <w:rsid w:val="1D94222E"/>
    <w:rsid w:val="1D9D1994"/>
    <w:rsid w:val="1DD4581A"/>
    <w:rsid w:val="1E2817C9"/>
    <w:rsid w:val="1E564243"/>
    <w:rsid w:val="1EAC487B"/>
    <w:rsid w:val="1FAC6613"/>
    <w:rsid w:val="1FD44CF4"/>
    <w:rsid w:val="20480C5D"/>
    <w:rsid w:val="207A3143"/>
    <w:rsid w:val="21BE156E"/>
    <w:rsid w:val="21C65472"/>
    <w:rsid w:val="21F659F9"/>
    <w:rsid w:val="222071F9"/>
    <w:rsid w:val="229D0535"/>
    <w:rsid w:val="22B91818"/>
    <w:rsid w:val="22CE3B8A"/>
    <w:rsid w:val="22F44EA3"/>
    <w:rsid w:val="230E781A"/>
    <w:rsid w:val="23512A48"/>
    <w:rsid w:val="2367292B"/>
    <w:rsid w:val="23BB0980"/>
    <w:rsid w:val="249D6CCF"/>
    <w:rsid w:val="24CB0AC7"/>
    <w:rsid w:val="24DD4082"/>
    <w:rsid w:val="24F56D3D"/>
    <w:rsid w:val="24F801EF"/>
    <w:rsid w:val="24FB2683"/>
    <w:rsid w:val="258632BB"/>
    <w:rsid w:val="26817C09"/>
    <w:rsid w:val="268303EB"/>
    <w:rsid w:val="2728046D"/>
    <w:rsid w:val="27834160"/>
    <w:rsid w:val="279E50AF"/>
    <w:rsid w:val="27B65EB0"/>
    <w:rsid w:val="27C14889"/>
    <w:rsid w:val="28057DBC"/>
    <w:rsid w:val="286824DF"/>
    <w:rsid w:val="28B61C25"/>
    <w:rsid w:val="29126901"/>
    <w:rsid w:val="29316006"/>
    <w:rsid w:val="29C15202"/>
    <w:rsid w:val="2AF35E27"/>
    <w:rsid w:val="2B8132D2"/>
    <w:rsid w:val="2B947552"/>
    <w:rsid w:val="2C0701DD"/>
    <w:rsid w:val="2C435BDB"/>
    <w:rsid w:val="2C7E3382"/>
    <w:rsid w:val="2E653066"/>
    <w:rsid w:val="2E9F019A"/>
    <w:rsid w:val="2EF6281D"/>
    <w:rsid w:val="2FFE019B"/>
    <w:rsid w:val="30036DCE"/>
    <w:rsid w:val="30323858"/>
    <w:rsid w:val="305805DE"/>
    <w:rsid w:val="308A45E7"/>
    <w:rsid w:val="3183383D"/>
    <w:rsid w:val="318D23A6"/>
    <w:rsid w:val="32A74BC5"/>
    <w:rsid w:val="32DE12D0"/>
    <w:rsid w:val="32F14098"/>
    <w:rsid w:val="331E4281"/>
    <w:rsid w:val="337230D9"/>
    <w:rsid w:val="338A2FF8"/>
    <w:rsid w:val="338F24E0"/>
    <w:rsid w:val="33C2733A"/>
    <w:rsid w:val="33C800E3"/>
    <w:rsid w:val="344E4137"/>
    <w:rsid w:val="344E453C"/>
    <w:rsid w:val="34A07897"/>
    <w:rsid w:val="34D44B15"/>
    <w:rsid w:val="35644011"/>
    <w:rsid w:val="357C20EF"/>
    <w:rsid w:val="3584133D"/>
    <w:rsid w:val="35A9664E"/>
    <w:rsid w:val="35BD3D16"/>
    <w:rsid w:val="36766E16"/>
    <w:rsid w:val="36D20576"/>
    <w:rsid w:val="372943E8"/>
    <w:rsid w:val="37D15E9B"/>
    <w:rsid w:val="37FA31A2"/>
    <w:rsid w:val="37FA777F"/>
    <w:rsid w:val="38280715"/>
    <w:rsid w:val="38825245"/>
    <w:rsid w:val="38C02A64"/>
    <w:rsid w:val="396F08F3"/>
    <w:rsid w:val="399060D9"/>
    <w:rsid w:val="39CE6549"/>
    <w:rsid w:val="3AB460C5"/>
    <w:rsid w:val="3AEC4071"/>
    <w:rsid w:val="3B317989"/>
    <w:rsid w:val="3BAC4E01"/>
    <w:rsid w:val="3C410850"/>
    <w:rsid w:val="3CCA55E2"/>
    <w:rsid w:val="3CEB4F51"/>
    <w:rsid w:val="3DCB524C"/>
    <w:rsid w:val="3E1400B6"/>
    <w:rsid w:val="3E4E5A87"/>
    <w:rsid w:val="3E5E542B"/>
    <w:rsid w:val="3E6C09FE"/>
    <w:rsid w:val="3E8F7615"/>
    <w:rsid w:val="3EB6498D"/>
    <w:rsid w:val="3FD65D00"/>
    <w:rsid w:val="400E09CB"/>
    <w:rsid w:val="401F71C0"/>
    <w:rsid w:val="403D45DD"/>
    <w:rsid w:val="409F1707"/>
    <w:rsid w:val="413E597F"/>
    <w:rsid w:val="415C5759"/>
    <w:rsid w:val="42696C4F"/>
    <w:rsid w:val="428A07D4"/>
    <w:rsid w:val="42BA0D72"/>
    <w:rsid w:val="42D77058"/>
    <w:rsid w:val="43041318"/>
    <w:rsid w:val="43724989"/>
    <w:rsid w:val="4397347F"/>
    <w:rsid w:val="43C90289"/>
    <w:rsid w:val="44737B18"/>
    <w:rsid w:val="452A39FF"/>
    <w:rsid w:val="45624651"/>
    <w:rsid w:val="460B6558"/>
    <w:rsid w:val="466B498F"/>
    <w:rsid w:val="46A15084"/>
    <w:rsid w:val="46E9299F"/>
    <w:rsid w:val="47075C37"/>
    <w:rsid w:val="47356D0C"/>
    <w:rsid w:val="47942F3D"/>
    <w:rsid w:val="47B9148C"/>
    <w:rsid w:val="47C0114C"/>
    <w:rsid w:val="47D2417C"/>
    <w:rsid w:val="485D615E"/>
    <w:rsid w:val="4874534C"/>
    <w:rsid w:val="48757443"/>
    <w:rsid w:val="48B26E9A"/>
    <w:rsid w:val="48FC56E4"/>
    <w:rsid w:val="497E2D3A"/>
    <w:rsid w:val="49D337A0"/>
    <w:rsid w:val="49F4674C"/>
    <w:rsid w:val="4A560724"/>
    <w:rsid w:val="4A59342D"/>
    <w:rsid w:val="4A614067"/>
    <w:rsid w:val="4B062C88"/>
    <w:rsid w:val="4B1C24A2"/>
    <w:rsid w:val="4B326D71"/>
    <w:rsid w:val="4B352F81"/>
    <w:rsid w:val="4B5B71A9"/>
    <w:rsid w:val="4B746076"/>
    <w:rsid w:val="4BA102E7"/>
    <w:rsid w:val="4BC954C1"/>
    <w:rsid w:val="4BFF5C47"/>
    <w:rsid w:val="4C473238"/>
    <w:rsid w:val="4C494F90"/>
    <w:rsid w:val="4C4E2E6B"/>
    <w:rsid w:val="4C6B0709"/>
    <w:rsid w:val="4C8B36AE"/>
    <w:rsid w:val="4CA53A39"/>
    <w:rsid w:val="4CBA1333"/>
    <w:rsid w:val="4CC5549B"/>
    <w:rsid w:val="4DA20881"/>
    <w:rsid w:val="4DC15139"/>
    <w:rsid w:val="4E625A2C"/>
    <w:rsid w:val="4EA67D84"/>
    <w:rsid w:val="4EAA642F"/>
    <w:rsid w:val="4EF67936"/>
    <w:rsid w:val="4EF95FD6"/>
    <w:rsid w:val="4F063236"/>
    <w:rsid w:val="4F42297E"/>
    <w:rsid w:val="4F4A3D18"/>
    <w:rsid w:val="4FA00297"/>
    <w:rsid w:val="4FBE5172"/>
    <w:rsid w:val="500A4AFE"/>
    <w:rsid w:val="502B0BB0"/>
    <w:rsid w:val="508847D4"/>
    <w:rsid w:val="514648DC"/>
    <w:rsid w:val="515A0CBD"/>
    <w:rsid w:val="515B2530"/>
    <w:rsid w:val="51A00493"/>
    <w:rsid w:val="520754A3"/>
    <w:rsid w:val="52740E20"/>
    <w:rsid w:val="52C57F46"/>
    <w:rsid w:val="53E04C61"/>
    <w:rsid w:val="54B105D3"/>
    <w:rsid w:val="56631B6A"/>
    <w:rsid w:val="56D478E1"/>
    <w:rsid w:val="56D827AD"/>
    <w:rsid w:val="56E537F3"/>
    <w:rsid w:val="570C0765"/>
    <w:rsid w:val="57F37F71"/>
    <w:rsid w:val="581331E3"/>
    <w:rsid w:val="59227980"/>
    <w:rsid w:val="59E02ACF"/>
    <w:rsid w:val="59F25861"/>
    <w:rsid w:val="5A08205E"/>
    <w:rsid w:val="5A4C5A1E"/>
    <w:rsid w:val="5B0D4330"/>
    <w:rsid w:val="5B1635AE"/>
    <w:rsid w:val="5B7876D5"/>
    <w:rsid w:val="5C0429D0"/>
    <w:rsid w:val="5C103E0E"/>
    <w:rsid w:val="5C49297F"/>
    <w:rsid w:val="5C802EBC"/>
    <w:rsid w:val="5C853695"/>
    <w:rsid w:val="5CAD01FB"/>
    <w:rsid w:val="5D670ADF"/>
    <w:rsid w:val="5E0C6DCF"/>
    <w:rsid w:val="5E5C73C5"/>
    <w:rsid w:val="5F075AD0"/>
    <w:rsid w:val="607E7322"/>
    <w:rsid w:val="60C00A84"/>
    <w:rsid w:val="61095B1B"/>
    <w:rsid w:val="61DD482F"/>
    <w:rsid w:val="61E85FFB"/>
    <w:rsid w:val="62464723"/>
    <w:rsid w:val="62943FA6"/>
    <w:rsid w:val="62AB1886"/>
    <w:rsid w:val="62AE706D"/>
    <w:rsid w:val="6352078B"/>
    <w:rsid w:val="63664C00"/>
    <w:rsid w:val="63977D41"/>
    <w:rsid w:val="64546074"/>
    <w:rsid w:val="64647104"/>
    <w:rsid w:val="64BE4B0F"/>
    <w:rsid w:val="65026C01"/>
    <w:rsid w:val="651C1371"/>
    <w:rsid w:val="65A255EF"/>
    <w:rsid w:val="65EB4A21"/>
    <w:rsid w:val="6677033D"/>
    <w:rsid w:val="66BE21CC"/>
    <w:rsid w:val="67200AE0"/>
    <w:rsid w:val="67427654"/>
    <w:rsid w:val="67427E37"/>
    <w:rsid w:val="674F1418"/>
    <w:rsid w:val="67B8355B"/>
    <w:rsid w:val="67DF2D29"/>
    <w:rsid w:val="68467229"/>
    <w:rsid w:val="68482713"/>
    <w:rsid w:val="697A15F3"/>
    <w:rsid w:val="69D9369A"/>
    <w:rsid w:val="69E14FF2"/>
    <w:rsid w:val="6A332EE8"/>
    <w:rsid w:val="6AC45568"/>
    <w:rsid w:val="6ADB0A24"/>
    <w:rsid w:val="6C906285"/>
    <w:rsid w:val="6C9577DE"/>
    <w:rsid w:val="6D351A34"/>
    <w:rsid w:val="6DC742B3"/>
    <w:rsid w:val="6DF86B28"/>
    <w:rsid w:val="6E382BAB"/>
    <w:rsid w:val="6E460125"/>
    <w:rsid w:val="6E5B3F57"/>
    <w:rsid w:val="6E6751F0"/>
    <w:rsid w:val="6EC319CF"/>
    <w:rsid w:val="6ECA0C5B"/>
    <w:rsid w:val="6F113F75"/>
    <w:rsid w:val="704005B2"/>
    <w:rsid w:val="704026E6"/>
    <w:rsid w:val="705C4C31"/>
    <w:rsid w:val="70FA1B4A"/>
    <w:rsid w:val="710C2299"/>
    <w:rsid w:val="71293BF2"/>
    <w:rsid w:val="721E2E86"/>
    <w:rsid w:val="725F61C0"/>
    <w:rsid w:val="727D156C"/>
    <w:rsid w:val="72AC1DB5"/>
    <w:rsid w:val="73121C33"/>
    <w:rsid w:val="73431677"/>
    <w:rsid w:val="7447442C"/>
    <w:rsid w:val="74BF3F06"/>
    <w:rsid w:val="759F0F6D"/>
    <w:rsid w:val="76493095"/>
    <w:rsid w:val="76871CD4"/>
    <w:rsid w:val="76B33626"/>
    <w:rsid w:val="773C0715"/>
    <w:rsid w:val="774A1E44"/>
    <w:rsid w:val="776F242F"/>
    <w:rsid w:val="77830643"/>
    <w:rsid w:val="779031E5"/>
    <w:rsid w:val="77BC2FF4"/>
    <w:rsid w:val="77C400A2"/>
    <w:rsid w:val="77C5083D"/>
    <w:rsid w:val="77C747DF"/>
    <w:rsid w:val="781C44D0"/>
    <w:rsid w:val="782729DF"/>
    <w:rsid w:val="78613F5D"/>
    <w:rsid w:val="7A66622F"/>
    <w:rsid w:val="7A71369A"/>
    <w:rsid w:val="7A7830D6"/>
    <w:rsid w:val="7A7959AB"/>
    <w:rsid w:val="7AB34EC1"/>
    <w:rsid w:val="7AF35AA3"/>
    <w:rsid w:val="7B3C4F9E"/>
    <w:rsid w:val="7B95066B"/>
    <w:rsid w:val="7CF25D94"/>
    <w:rsid w:val="7CF801D3"/>
    <w:rsid w:val="7D4C743D"/>
    <w:rsid w:val="7D4E62F9"/>
    <w:rsid w:val="7D694231"/>
    <w:rsid w:val="7DA063B3"/>
    <w:rsid w:val="7DB769FC"/>
    <w:rsid w:val="7DFD1AB3"/>
    <w:rsid w:val="7E1F6E1E"/>
    <w:rsid w:val="7E20259E"/>
    <w:rsid w:val="7F3B240A"/>
    <w:rsid w:val="7F692241"/>
    <w:rsid w:val="7FF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nhideWhenUsed/>
    <w:qFormat/>
    <w:uiPriority w:val="99"/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区城管监督指挥中心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2020-08-25T08:24:00Z</dcterms:created>
  <dc:creator>2223-01</dc:creator>
  <cp:lastModifiedBy>carina</cp:lastModifiedBy>
  <cp:lastPrinted>2020-09-02T09:57:00Z</cp:lastPrinted>
  <dcterms:modified xsi:type="dcterms:W3CDTF">2022-09-05T07:41:51Z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C719AA416D6F48639BBCB253C13B4EF1</vt:lpwstr>
  </property>
</Properties>
</file>