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北京市西城区第二文化馆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2021年部门决算公开</w:t>
      </w:r>
    </w:p>
    <w:p>
      <w:pPr>
        <w:jc w:val="center"/>
        <w:outlineLvl w:val="0"/>
        <w:rPr>
          <w:rFonts w:asciiTheme="majorEastAsia" w:hAnsiTheme="majorEastAsia" w:eastAsiaTheme="majorEastAsia"/>
          <w:sz w:val="44"/>
          <w:szCs w:val="44"/>
        </w:rPr>
      </w:pPr>
    </w:p>
    <w:p>
      <w:pPr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第一部分2021年部门决算说明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第二部分2021年部门决算报表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1.2021年收入支出决算总表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2.2021年收入决算表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3.2021年支出决算表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4.2021年财政拨款收入支出决算总表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5.2021年一般公共预算财政拨款支出决算表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6.2021年一般公共预算财政拨款基本支出决算表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7.2021年政府性基金预算财政拨款支出决算表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8.2021年政府性基金预算财政拨款基本支出决算表</w:t>
      </w:r>
    </w:p>
    <w:p>
      <w:pPr>
        <w:spacing w:line="520" w:lineRule="exact"/>
        <w:ind w:left="1098" w:leftChars="523" w:firstLine="67" w:firstLineChars="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9.2021年国有资本经营预算财政拨款支出决算表10.2021年财政拨款"三公"经费支出决算表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 xml:space="preserve">11.2021年政府采购情况表 </w:t>
      </w:r>
    </w:p>
    <w:p>
      <w:pPr>
        <w:spacing w:line="520" w:lineRule="exact"/>
        <w:ind w:left="141" w:leftChars="67" w:firstLine="1027" w:firstLineChars="3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12.2021年政府购买服务支出情况表</w:t>
      </w:r>
    </w:p>
    <w:p/>
    <w:p>
      <w:pPr>
        <w:jc w:val="center"/>
        <w:outlineLvl w:val="0"/>
        <w:rPr>
          <w:rFonts w:hint="eastAsia" w:asciiTheme="majorEastAsia" w:hAnsiTheme="majorEastAsia" w:eastAsiaTheme="majorEastAsia"/>
          <w:sz w:val="36"/>
          <w:szCs w:val="36"/>
        </w:rPr>
      </w:pPr>
    </w:p>
    <w:p>
      <w:pPr>
        <w:jc w:val="center"/>
        <w:outlineLvl w:val="0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第一部分    2021年部门决算说明</w:t>
      </w: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b w:val="0"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 w:val="0"/>
          <w:bCs/>
          <w:sz w:val="32"/>
          <w:szCs w:val="32"/>
        </w:rPr>
        <w:t>一、部门基本情况</w:t>
      </w:r>
    </w:p>
    <w:p>
      <w:pPr>
        <w:ind w:firstLine="480" w:firstLineChars="15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（一）部门职责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（一）部门机构设置、职责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1、部门机构设置：北京市西城区第二文化馆是根据《关于北京市西城区文化和旅游局所属事业单位机构调整设置的通知》（西编发【2019】42号）设立，是北京市西城区文化和旅游局下属二级，正科级单位。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北京市西城区第二文化馆设下列内设机构：办公室、财务室、研究创作部、文化活动部、培训辅导部、美术摄影部。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2、职责：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免费、平等向公众开放，宣传社会主义核心价值观，发展群众文化事业，开展全民艺术普及，辅导和传播科学文化知识，促进社会教育，提高本区市民艺术素养，保障民众的文化权益。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贯彻落实党和国家的文化方针政策及法律法规；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策划、组织、开展区级各类群众性文化艺术活动；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指导群众业余文艺团队建设，培育群众文化艺术骨干；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组织开展各类群众文化艺术创作；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开展文化志愿者管理和服务工作；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传承与发扬首都文化；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开展群众文化理论与研究工作；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开展群众文化对外交流活动；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辅导基层文化艺术工作；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指导区域街道综合文化中心和社区综合文化活动室的基层业务工作；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辅助建设区级公共数字文化平台；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完成主管部门交办的其它工作任务。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（二）人员构成及内设机构情况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北京市西城区第二文化馆部门事业编制35人，实际31人，聘用人员（临时工）1人，离退休人员30人，其中：离休1人，退休29人。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二、2021年收入支出决算总体情况说明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收入决算1926.0451万元，其中：财政拨款1926.0451万元，事业收入0万元，其他收入0万元。2021年收入决算与2021年初年收入预算1455.719883万元，相比增加了32.31%，主要原因是因为2021年疫情好转，文化馆的培训、展览、演出等工作正常开展，举办了庆祝中国共产党建党100周年的展览和文化演出活动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支出决算为1926.0451万元，与年初支出预算1455.719883万元，相比增加了32.31%，因为2021年疫情好转，文化馆的培训、展览、演出等工作正常开展，举办了庆祝中国共产党建党100周年的展览和文化演出活动。其中：基本支出970.853988万元，占50.41%；项目支出955.191112万元，占49.59%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2021年年末结转和结余0万元。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三、2021年一般公共预算财政拨款支出决算情况说明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一般公共预算财政拨款支出决算总体情况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2021年财政拨款支出1926.0451万元，主要用于以下方面：培训支出1.647万元，占0.09%；群众文化（类）1556.380158万元，占80.81%；社会保障和就业支出(类) 165.319240万元,占7.65%;卫生健康支出(类)73.682930万元,占3.83%;住房保障支出(类) 140.738520万元,占7.63%;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（二）一般公共预算财政拨款支出决算具体情况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1、2021年支出决算按用途划分：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2021年一般公共预算财政拨款支出1926.0451万元,比2021年年初预算增加了470.325217万元,增加了32.31%。其中：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（1）基本支出决算970.853988万元，比2021年年初预算增加了5152.878.41万元，增加%。主要原因是2021年人员变动，借调，退休等原因。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（2）项目支出决算955.191112万元,比2021年年初预算减少4399.03271万元,增加了117.14%。因为2021年疫情好转，文化馆的培训、展览、演出等工作正常开展，举办了庆祝中国共产党建党100周年的展览和文化演出活动。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2、支出的主要项目是1）群众文化活动演出2）群众文化培训辅导3）美术摄像展览4）法律咨询费5）物业管理费6）房租等项目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四、2021年一般公共预算财政拨款基本支出决算情况说明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财政拨款基本支出970.853988万元，其中：1.工资福利支出870.789324万元;2.商品和服务支出52.947814万元(包括：办公费，手续费，邮电费，差旅费，维修（护）费，委托业务费，工会经费，福利费，其他交通费用，其他商品和服务支出等);3.对个人和家庭补助支出47.116850万元(包括离休费，退休费等)；4.资本性支出0万元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五、2021年政府性基金预算财政拨款支出决算情况说明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2021年没有政府性基金预算财政拨款收入，也没有政府性基金预算财政拨款支出。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六、2021年部门决算“三公”经费财政拨款支出情况说明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2021年部门决算“三公”经费财政拨款支出1.473328万元与2020年“三公”经费财政拨款支出0.725545万元相比增加了103.07%，与2021年年初预算2.579818万元相比减少75.10%。其中：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因公出国（境）费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无。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（二）公务接待费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无。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（三）公务用车购置及运行维护费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"三公"经费财政拨款决算合计1.473328万元，其中公务用车加油0.500000万元，公务用车维修0.47337万元，公务用车保险0.377908万元，其他0.12205万元。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七、2021年其他重要事项的情况说明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（一）机关运行经费支出情况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2021年机关运行经费支出为0万元。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（二）2021年涉及政府采购项目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2021年政府采购支出总额5.580000万元；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（三）2021年涉及政府购买服务项目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无。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（四）国有资产占用情况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截止到2021年12月31日，我单位占用固定资产总额（净值）73.518134万元，其中：车辆0台，0万元；通用设备价值28.952056万元，单位价值50万万元以上的通用设备0台（套）、0万万元；专用设备价值20.973897万元，文物和陈列品价值4.050000万元，图书、档案价值0.90000万元，家具、用具装具及动植物价值18.642181万元；单位价值100万万元以上的专用设备0台（套）、0万万元。无形资产总额（净值）0万元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（五）国有资本经营预算拨款收支情况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无此项收支。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（六）绩效目标开展情况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为加强预算绩效管理，强化支出责任，建立科学、合理的财政支出绩效跟踪机制，提高财政资金使用效益，根据上级财政及区文委的要求，按照《西城区区级财政支出绩效跟踪管理办法》执行，我馆成立了绩效跟踪工作小组。2021年文化馆全年项目共13个项目，根据2021年项目预算方案，按季度制定项目执行方案，每月按计划实施方案，并顺利完成了全年的工作计划。</w:t>
      </w: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</w:p>
    <w:p>
      <w:pPr>
        <w:spacing w:line="520" w:lineRule="exact"/>
        <w:ind w:left="141" w:leftChars="67" w:firstLine="707" w:firstLineChars="221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八、专业名词解释</w:t>
      </w:r>
    </w:p>
    <w:p>
      <w:pPr>
        <w:spacing w:line="520" w:lineRule="exact"/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/>
    <w:p/>
    <w:p/>
    <w:p>
      <w:bookmarkStart w:id="0" w:name="_GoBack"/>
      <w:bookmarkEnd w:id="0"/>
    </w:p>
    <w:p/>
    <w:p/>
    <w:p/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第二部分   2021年部门决算报表</w:t>
      </w:r>
    </w:p>
    <w:p/>
    <w:p>
      <w:r>
        <w:rPr>
          <w:rFonts w:hint="eastAsia"/>
        </w:rPr>
        <w:t>表1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659"/>
        <w:gridCol w:w="659"/>
        <w:gridCol w:w="1322"/>
        <w:gridCol w:w="1593"/>
        <w:gridCol w:w="659"/>
        <w:gridCol w:w="585"/>
        <w:gridCol w:w="574"/>
        <w:gridCol w:w="614"/>
        <w:gridCol w:w="6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财政拨款收入支出决算总表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0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单位名称：北京市西城区第二文化馆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66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收     入</w:t>
            </w:r>
          </w:p>
        </w:tc>
        <w:tc>
          <w:tcPr>
            <w:tcW w:w="5962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48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    目</w:t>
            </w:r>
          </w:p>
        </w:tc>
        <w:tc>
          <w:tcPr>
            <w:tcW w:w="65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5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132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项目（按功能分类）</w:t>
            </w:r>
          </w:p>
        </w:tc>
        <w:tc>
          <w:tcPr>
            <w:tcW w:w="225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一般公共预算财政拨款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政府性基金预算财政拨款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国有资本经营预算财政拨款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8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一、一般公共预算财政拨款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1,455.719883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一、一般公共服务支出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二、政府性基金预算财政拨款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二、外交支出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三、国有资本经营预算财政拨款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三、国防支出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四、公共安全支出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五、教育支出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2.774400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1.647000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六、科学技术支出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七、文化旅游体育与传媒支出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1,073.204793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八、社会保障和就业支出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165.319240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九、卫生健康支出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73.682930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73.682930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十、节能环保支出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十一、城乡社区支出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十二、农林水支出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十三、交通运输支出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十四、资源勘探信息等支出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十五、商业服务业等支出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十六、金融支出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十七、援助其他地区支出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十八、自然资源海洋气象等支出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十九、住房保障支出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140.738520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二十、粮油物资储备支出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二十一、国有资本经营预算支出</w:t>
            </w:r>
          </w:p>
        </w:tc>
        <w:tc>
          <w:tcPr>
            <w:tcW w:w="159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二十二、灾害防治及应急管理支出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二十三、其他支出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二十四、债务还本支出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二十五、债务付息支出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二十六、抗疫特别国债安排的支出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1,455.719883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1,455.719883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年初财政拨款结转和结余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年末财政拨款结转和结余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一、一般公共预算财政拨款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二、政府性基金预算财政拨款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三、国有资本经营预算财政拨款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总计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1,455.719883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总计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1,455.719883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</w:tbl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表2：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4"/>
        <w:gridCol w:w="454"/>
        <w:gridCol w:w="1813"/>
        <w:gridCol w:w="784"/>
        <w:gridCol w:w="947"/>
        <w:gridCol w:w="780"/>
        <w:gridCol w:w="595"/>
        <w:gridCol w:w="595"/>
        <w:gridCol w:w="967"/>
        <w:gridCol w:w="6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收入决算表</w:t>
            </w:r>
          </w:p>
          <w:p>
            <w:pPr>
              <w:jc w:val="left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74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单位名称：北京市西城区第二文化馆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74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项目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94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财政拨款收入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上级补助收入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5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经营收入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附属单位上缴收入</w:t>
            </w:r>
          </w:p>
        </w:tc>
        <w:tc>
          <w:tcPr>
            <w:tcW w:w="68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181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3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类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款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栏次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53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合计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205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20508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进修及培训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2050803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培训支出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2050803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培训支出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1.647000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文化和旅游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2070109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群众文化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986.565546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986.565546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2070109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群众文化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986.565546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986.565546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2070199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其他文化和旅游支出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569.814612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569.814612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2070199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其他文化和旅游支出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569.814612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569.814612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行政事业单位养老支出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2080502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45.054778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45.054778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2080502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事业单位离退休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45.054778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45.054778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2080505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68.235456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68.235456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2080505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机关事业单位基本养老保险缴费支出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68.235456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68.235456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2080506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34.117728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34.117728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2080506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机关事业单位职业年金缴费支出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34.117728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34.117728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2101102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64.682930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64.682930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2101102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事业单位医疗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64.682930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64.682930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2101199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其他行政事业单位医疗支出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9.000000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9.000000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2101199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其他行政事业单位医疗支出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9.000000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9.000000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</w:t>
            </w:r>
          </w:p>
        </w:tc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</w:t>
            </w:r>
          </w:p>
        </w:tc>
        <w:tc>
          <w:tcPr>
            <w:tcW w:w="181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2210201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71.083500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71.083500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2210201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71.083500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71.083500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2210202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提租补贴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5.518050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5.518050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2210202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提租补贴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5.518050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5.518050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2210203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70.325500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70.325500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61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2210203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购房补贴</w:t>
            </w:r>
          </w:p>
        </w:tc>
        <w:tc>
          <w:tcPr>
            <w:tcW w:w="78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70.325500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70.325500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</w:tbl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</w:p>
    <w:p>
      <w:pPr>
        <w:jc w:val="left"/>
        <w:outlineLvl w:val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表3：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423"/>
        <w:gridCol w:w="355"/>
        <w:gridCol w:w="305"/>
        <w:gridCol w:w="305"/>
        <w:gridCol w:w="1692"/>
        <w:gridCol w:w="1172"/>
        <w:gridCol w:w="653"/>
        <w:gridCol w:w="653"/>
        <w:gridCol w:w="566"/>
        <w:gridCol w:w="566"/>
        <w:gridCol w:w="7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　</w:t>
            </w: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支出决算表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　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0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5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11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6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6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7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9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1,926.045100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970.853988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955.191112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205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教育支出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20508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进修及培训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2050803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培训支出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2050803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1.647000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1,556.380158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601.189046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955.191112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1,556.380158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601.189046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955.191112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2070109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群众文化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986.565546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601.189046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385.376500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2070109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群众文化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986.565546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601.189046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385.376500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569.814612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569.814612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2070199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569.814612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569.814612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147.407962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147.407962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147.407962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147.407962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45.054778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45.054778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45.054778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45.054778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68.235456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68.235456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68.235456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68.235456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34.117728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34.117728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34.117728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34.117728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73.682930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73.682930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73.682930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73.682930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64.682930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64.682930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2101199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其他行政事业单位医疗支出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9.000000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9.000000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2101199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其他行政事业单位医疗支出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9.000000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9.000000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146.927050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146.927050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146.927050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146.927050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71.083500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71.083500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71.083500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71.083500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5.518050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5.518050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5.518050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5.518050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70.325500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70.325500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70.325500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70.325500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表4：</w:t>
      </w:r>
    </w:p>
    <w:tbl>
      <w:tblPr>
        <w:tblStyle w:val="4"/>
        <w:tblW w:w="8435" w:type="dxa"/>
        <w:tblInd w:w="93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825"/>
        <w:gridCol w:w="825"/>
        <w:gridCol w:w="1621"/>
        <w:gridCol w:w="825"/>
        <w:gridCol w:w="825"/>
        <w:gridCol w:w="403"/>
        <w:gridCol w:w="403"/>
        <w:gridCol w:w="403"/>
        <w:gridCol w:w="778"/>
      </w:tblGrid>
      <w:tr>
        <w:tblPrEx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2"/>
                <w:szCs w:val="22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2"/>
                <w:szCs w:val="22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8"/>
                <w:szCs w:val="28"/>
              </w:rPr>
              <w:t>财政拨款收入支出决算总表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5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18"/>
                <w:szCs w:val="18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color w:val="000000"/>
                <w:kern w:val="0"/>
                <w:sz w:val="24"/>
              </w:rPr>
            </w:pPr>
            <w:r>
              <w:rPr>
                <w:rFonts w:hint="eastAsia" w:cs="Arial" w:asciiTheme="majorEastAsia" w:hAnsiTheme="majorEastAsia" w:eastAsiaTheme="majorEastAsia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77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525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27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项目（按功能分类）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一般公共预算财政拨款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政府性基金预算财政拨款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国有资本经营预算财政拨款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7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6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vAlign w:val="bottom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32,640.00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5,300.00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14,981,785.79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14,202,418.22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1,488,523.20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1,335,712.66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643,816.90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676,411.66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1,364,415.60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1,367,951.00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年初财政拨款结转和结余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年末财政拨款结转和结余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lef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27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18,511,181.49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17,587,793.54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40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jc w:val="right"/>
              <w:rPr>
                <w:rFonts w:cs="Arial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Arial" w:asciiTheme="majorEastAsia" w:hAnsiTheme="majorEastAsia" w:eastAsiaTheme="majorEastAsia"/>
                <w:kern w:val="0"/>
                <w:sz w:val="20"/>
                <w:szCs w:val="20"/>
              </w:rPr>
              <w:t>0.00</w:t>
            </w:r>
          </w:p>
        </w:tc>
      </w:tr>
    </w:tbl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表5：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360"/>
        <w:gridCol w:w="360"/>
        <w:gridCol w:w="2668"/>
        <w:gridCol w:w="1803"/>
        <w:gridCol w:w="1089"/>
        <w:gridCol w:w="944"/>
        <w:gridCol w:w="9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</w:rPr>
              <w:t>一般公共预算财政拨款支出决算表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</w:rPr>
              <w:t>　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66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80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48" w:type="dxa"/>
            <w:gridSpan w:val="4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单位名称：北京市西城区第二文化馆</w:t>
            </w:r>
          </w:p>
        </w:tc>
        <w:tc>
          <w:tcPr>
            <w:tcW w:w="1803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4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44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48" w:type="dxa"/>
            <w:gridSpan w:val="4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项目</w:t>
            </w: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合计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基本支出</w:t>
            </w:r>
          </w:p>
        </w:tc>
        <w:tc>
          <w:tcPr>
            <w:tcW w:w="94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0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支出功能分类科目编码</w:t>
            </w:r>
          </w:p>
        </w:tc>
        <w:tc>
          <w:tcPr>
            <w:tcW w:w="266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科目名称</w:t>
            </w:r>
          </w:p>
        </w:tc>
        <w:tc>
          <w:tcPr>
            <w:tcW w:w="18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66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080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66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80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08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0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类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款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项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栏次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0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合计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―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1,926.045100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970.853988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955.191112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205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20508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进修及培训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2050803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培训支出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2050803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培训支出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1.647000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文化旅游体育与传媒支出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601.189046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955.191112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文化和旅游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1,556.380158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601.189046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955.191112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2070109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群众文化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986.565546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601.189046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385.376500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2070109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群众文化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986.565546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601.189046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385.376500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2070199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其他文化和旅游支出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569.814612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569.814612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2070199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其他文化和旅游支出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569.814612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569.814612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行政事业单位养老支出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147.407962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45.054778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45.054778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事业单位离退休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45.054778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45.054778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2080505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68.235456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68.235456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2080505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机关事业单位基本养老保险缴费支出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68.235456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68.235456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2080506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34.117728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34.117728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2080506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机关事业单位职业年金缴费支出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34.117728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34.117728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卫生健康支出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行政事业单位医疗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73.682930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64.682930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64.682930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2101102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事业单位医疗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64.682930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64.682930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2101199</w:t>
            </w: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其他行政事业单位医疗支出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9.000000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9.000000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2101199</w:t>
            </w:r>
          </w:p>
        </w:tc>
        <w:tc>
          <w:tcPr>
            <w:tcW w:w="266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其他行政事业单位医疗支出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9.000000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9.000000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146.927050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71.083500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71.083500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2210201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住房公积金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71.083500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71.083500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提租补贴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5.518050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5.518050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2210202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提租补贴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5.518050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5.518050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2210203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70.325500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70.325500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18"/>
                <w:szCs w:val="18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2210203</w:t>
            </w:r>
          </w:p>
        </w:tc>
        <w:tc>
          <w:tcPr>
            <w:tcW w:w="266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 xml:space="preserve">  购房补贴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北京市西城区第二文化馆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70.325500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70.325500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0.000000</w:t>
            </w:r>
          </w:p>
        </w:tc>
      </w:tr>
    </w:tbl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表6：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216"/>
        <w:gridCol w:w="1558"/>
        <w:gridCol w:w="1271"/>
        <w:gridCol w:w="1509"/>
        <w:gridCol w:w="11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一般公共预算财政拨款基本支出决算表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单位名称：北京市西城区第二文化馆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870.789324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52.947814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123.850200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10.207664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121.204400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0.072600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374.202550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68.235456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34.117728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0.594086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64.682930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4.412560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71.083500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2.395400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47.116850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17.015600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1.087000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25.100450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0.230000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6.107714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7.582263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8.089978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1.473328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0.105547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5.000800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15.002234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846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917.906174</w:t>
            </w:r>
          </w:p>
        </w:tc>
        <w:tc>
          <w:tcPr>
            <w:tcW w:w="433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52.947814</w:t>
            </w: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表7：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8"/>
        <w:gridCol w:w="407"/>
        <w:gridCol w:w="408"/>
        <w:gridCol w:w="408"/>
        <w:gridCol w:w="408"/>
        <w:gridCol w:w="408"/>
        <w:gridCol w:w="408"/>
        <w:gridCol w:w="408"/>
        <w:gridCol w:w="408"/>
        <w:gridCol w:w="13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</w:rPr>
              <w:t>政府性基金预算财政拨款支出决算表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　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上年结转和结余</w:t>
            </w: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13" w:type="dxa"/>
            <w:gridSpan w:val="3"/>
            <w:vMerge w:val="restart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408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367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13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713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8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40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898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13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表8：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604"/>
        <w:gridCol w:w="1507"/>
        <w:gridCol w:w="603"/>
        <w:gridCol w:w="2734"/>
        <w:gridCol w:w="9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政府性基金预算财政拨款基本支出决算表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6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单位名称：北京市西城区第二文化馆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4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44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表9：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6"/>
        <w:gridCol w:w="416"/>
        <w:gridCol w:w="3076"/>
        <w:gridCol w:w="1393"/>
        <w:gridCol w:w="1394"/>
        <w:gridCol w:w="1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8" w:type="dxa"/>
            <w:gridSpan w:val="7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</w:rPr>
              <w:t>国有资本经营预算财政拨款支出决算表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16"/>
                <w:szCs w:val="16"/>
              </w:rPr>
            </w:pPr>
            <w:r>
              <w:rPr>
                <w:rFonts w:ascii="Tahoma" w:hAnsi="Tahoma" w:cs="Tahoma"/>
                <w:kern w:val="0"/>
                <w:sz w:val="16"/>
                <w:szCs w:val="16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076" w:type="dxa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93" w:type="dxa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94" w:type="dxa"/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25" w:type="dxa"/>
            <w:gridSpan w:val="4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1393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394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bottom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4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2021年度决算数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9" w:type="dxa"/>
            <w:gridSpan w:val="3"/>
            <w:vMerge w:val="restart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307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393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41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9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9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9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30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7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9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07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表10：</w:t>
      </w:r>
    </w:p>
    <w:tbl>
      <w:tblPr>
        <w:tblStyle w:val="4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863"/>
        <w:gridCol w:w="863"/>
        <w:gridCol w:w="670"/>
        <w:gridCol w:w="1011"/>
        <w:gridCol w:w="670"/>
        <w:gridCol w:w="898"/>
        <w:gridCol w:w="898"/>
        <w:gridCol w:w="898"/>
        <w:gridCol w:w="8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　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财政拨款"三公"经费支出决算表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编制单位：北京市西城区第二文化馆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9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"三公"经费财政拨款决算合计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67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527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公务用车购置及运行维护费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426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公务用车加油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公务用车维修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公务用车保险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2021年预算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2.579818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0.479818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2.100000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1.000000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0.500000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0.400000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0.200000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9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2021年决算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1.473328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1.473328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0.500000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0.473370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0.377908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0.122050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2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注："三公"经费财政拨款决算数，反映本部门使用当年财政拨款和年初结转结余资金实际支出数（包含一般公共预算拨款和政府性基金预算拨款）。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528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28" w:type="dxa"/>
            <w:gridSpan w:val="1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表11：</w:t>
      </w:r>
    </w:p>
    <w:tbl>
      <w:tblPr>
        <w:tblStyle w:val="4"/>
        <w:tblW w:w="8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0"/>
        <w:gridCol w:w="53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 xml:space="preserve">政府采购情况表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       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  目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政府采购支出信息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（一）政府采购支出合计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1．政府采购货物支出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2．政府采购工程支出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3．政府采购服务支出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（二）政府采购授予中小企业合同金额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5.580000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1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536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</w:tbl>
    <w:p>
      <w:pPr>
        <w:rPr>
          <w:rFonts w:asciiTheme="majorEastAsia" w:hAnsiTheme="majorEastAsia" w:eastAsiaTheme="majorEastAsia"/>
          <w:sz w:val="30"/>
          <w:szCs w:val="30"/>
        </w:rPr>
      </w:pPr>
    </w:p>
    <w:p>
      <w:pPr>
        <w:widowControl/>
        <w:jc w:val="center"/>
        <w:textAlignment w:val="center"/>
        <w:rPr>
          <w:rFonts w:cs="黑体" w:asciiTheme="majorEastAsia" w:hAnsiTheme="majorEastAsia" w:eastAsiaTheme="majorEastAsia"/>
          <w:color w:val="000000"/>
          <w:kern w:val="0"/>
          <w:sz w:val="36"/>
          <w:szCs w:val="36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表12：</w:t>
      </w:r>
    </w:p>
    <w:tbl>
      <w:tblPr>
        <w:tblStyle w:val="4"/>
        <w:tblW w:w="86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3711"/>
        <w:gridCol w:w="28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28"/>
                <w:szCs w:val="28"/>
              </w:rPr>
              <w:t>政府购买服务支出情况表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6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单位名称：北京市西城区第二文化馆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867" w:type="dxa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基本公共服务</w:t>
            </w: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教育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就业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人才服务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社会保险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社会救助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养老服务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扶贫济困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优抚安置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残疾人福利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医疗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人口和计划生育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食品药品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文化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科技推广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住房保障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环境治理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农业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水利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生态保护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公共信息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城市维护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nil"/>
              <w:left w:val="single" w:color="000000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外事</w:t>
            </w:r>
          </w:p>
        </w:tc>
        <w:tc>
          <w:tcPr>
            <w:tcW w:w="2803" w:type="dxa"/>
            <w:tcBorders>
              <w:top w:val="nil"/>
              <w:left w:val="nil"/>
              <w:bottom w:val="single" w:color="auto" w:sz="4" w:space="0"/>
              <w:right w:val="single" w:color="000000" w:sz="12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社会管理性服务</w:t>
            </w: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社区建设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社会组织建设与管理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社会工作服务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法律援助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防灾救灾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人民调解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社区矫正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流动人口管理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安置帮教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志愿服务运营管理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公共公益宣传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行业管理与协调性服务</w:t>
            </w: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行业职业资格和水平测试管理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行业规范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行业投诉处理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行业规划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行业调查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行业统计分析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行业标准制修订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技术性服务</w:t>
            </w: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技术评审鉴定评估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检验检疫检测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监测服务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政府履职所需辅助性服务</w:t>
            </w: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课题研究和社会调查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财务会计审计服务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会议和展览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工程服务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项目评审评估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绩效评价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咨询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技术业务培训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机关信息系统建设与维护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其他服务</w:t>
            </w: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其他适宜由社会力量承担的服务事项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Q0N2U1NzI5YjkwMmM0NTAzYjQ4ODIxODU1OGM5ZmQifQ=="/>
  </w:docVars>
  <w:rsids>
    <w:rsidRoot w:val="0058174E"/>
    <w:rsid w:val="0015583F"/>
    <w:rsid w:val="00157A2B"/>
    <w:rsid w:val="00274AF8"/>
    <w:rsid w:val="00372A00"/>
    <w:rsid w:val="003B1621"/>
    <w:rsid w:val="00402D37"/>
    <w:rsid w:val="0045498B"/>
    <w:rsid w:val="0045667E"/>
    <w:rsid w:val="00555032"/>
    <w:rsid w:val="0058174E"/>
    <w:rsid w:val="00594EB6"/>
    <w:rsid w:val="005C67BC"/>
    <w:rsid w:val="006B530C"/>
    <w:rsid w:val="006C47A8"/>
    <w:rsid w:val="006D3F58"/>
    <w:rsid w:val="006E5F2E"/>
    <w:rsid w:val="00714FA1"/>
    <w:rsid w:val="007743EE"/>
    <w:rsid w:val="007A0053"/>
    <w:rsid w:val="00810020"/>
    <w:rsid w:val="0081085C"/>
    <w:rsid w:val="00870997"/>
    <w:rsid w:val="009C0DD7"/>
    <w:rsid w:val="009E033D"/>
    <w:rsid w:val="00A367F7"/>
    <w:rsid w:val="00AB4658"/>
    <w:rsid w:val="00AD58B6"/>
    <w:rsid w:val="00B61736"/>
    <w:rsid w:val="00C6039F"/>
    <w:rsid w:val="00C67600"/>
    <w:rsid w:val="00C75E23"/>
    <w:rsid w:val="00CA027E"/>
    <w:rsid w:val="00CD3B9E"/>
    <w:rsid w:val="00CF0EE9"/>
    <w:rsid w:val="00D34D55"/>
    <w:rsid w:val="00D510AD"/>
    <w:rsid w:val="00D60E9B"/>
    <w:rsid w:val="00D70EC2"/>
    <w:rsid w:val="00DA41D5"/>
    <w:rsid w:val="00E06D28"/>
    <w:rsid w:val="00E528F1"/>
    <w:rsid w:val="00E5460C"/>
    <w:rsid w:val="00E63791"/>
    <w:rsid w:val="00E76488"/>
    <w:rsid w:val="00EA3FBF"/>
    <w:rsid w:val="00EB3547"/>
    <w:rsid w:val="00ED5C5A"/>
    <w:rsid w:val="00F00166"/>
    <w:rsid w:val="1BAC3400"/>
    <w:rsid w:val="3D191A56"/>
    <w:rsid w:val="79D115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0">
    <w:name w:val="font3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E14B1B-2ABF-45F6-BF38-5DD19E4735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28</Pages>
  <Words>3018</Words>
  <Characters>17205</Characters>
  <Lines>143</Lines>
  <Paragraphs>40</Paragraphs>
  <TotalTime>597</TotalTime>
  <ScaleCrop>false</ScaleCrop>
  <LinksUpToDate>false</LinksUpToDate>
  <CharactersWithSpaces>20183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2022-08-24T08:44:00Z</dcterms:created>
  <dc:creator>Administrator</dc:creator>
  <cp:lastModifiedBy>北京市西城区文化和旅游局（主管）</cp:lastModifiedBy>
  <dcterms:modified xsi:type="dcterms:W3CDTF">2022-08-31T05:36:48Z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B52EF256218145DC9CBA20D1EE4A7B83</vt:lpwstr>
  </property>
</Properties>
</file>