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简体" w:eastAsia="方正小标宋简体"/>
          <w:b/>
          <w:sz w:val="36"/>
          <w:szCs w:val="36"/>
        </w:rPr>
      </w:pPr>
    </w:p>
    <w:p>
      <w:pPr>
        <w:spacing w:line="560" w:lineRule="exact"/>
        <w:jc w:val="center"/>
        <w:rPr>
          <w:rFonts w:ascii="方正小标宋简体" w:eastAsia="方正小标宋简体"/>
          <w:b/>
          <w:sz w:val="44"/>
          <w:szCs w:val="44"/>
        </w:rPr>
      </w:pPr>
      <w:r>
        <w:rPr>
          <w:rFonts w:hint="eastAsia" w:ascii="方正小标宋简体" w:eastAsia="方正小标宋简体"/>
          <w:b/>
          <w:sz w:val="44"/>
          <w:szCs w:val="44"/>
        </w:rPr>
        <w:t>北京市西城区文物管理处</w:t>
      </w:r>
    </w:p>
    <w:p>
      <w:pPr>
        <w:spacing w:line="560" w:lineRule="exact"/>
        <w:jc w:val="center"/>
        <w:rPr>
          <w:rFonts w:ascii="方正小标宋简体" w:eastAsia="方正小标宋简体"/>
          <w:b/>
          <w:sz w:val="44"/>
          <w:szCs w:val="44"/>
        </w:rPr>
      </w:pPr>
      <w:r>
        <w:rPr>
          <w:rFonts w:hint="eastAsia" w:ascii="方正小标宋简体" w:eastAsia="方正小标宋简体"/>
          <w:b/>
          <w:sz w:val="44"/>
          <w:szCs w:val="44"/>
        </w:rPr>
        <w:t>2021年部门决算</w:t>
      </w:r>
    </w:p>
    <w:p>
      <w:pPr>
        <w:spacing w:line="560" w:lineRule="exact"/>
        <w:jc w:val="center"/>
        <w:outlineLvl w:val="0"/>
        <w:rPr>
          <w:rFonts w:ascii="黑体" w:eastAsia="黑体"/>
          <w:sz w:val="44"/>
          <w:szCs w:val="44"/>
        </w:rPr>
      </w:pPr>
    </w:p>
    <w:p>
      <w:pPr>
        <w:spacing w:line="560" w:lineRule="exact"/>
        <w:jc w:val="center"/>
        <w:outlineLvl w:val="0"/>
        <w:rPr>
          <w:rFonts w:ascii="仿宋_GB2312"/>
          <w:b/>
          <w:sz w:val="36"/>
          <w:szCs w:val="36"/>
        </w:rPr>
      </w:pPr>
      <w:r>
        <w:rPr>
          <w:rFonts w:hint="eastAsia" w:ascii="仿宋_GB2312"/>
          <w:b/>
          <w:sz w:val="36"/>
          <w:szCs w:val="36"/>
        </w:rPr>
        <w:t>目  录</w:t>
      </w:r>
    </w:p>
    <w:p>
      <w:pPr>
        <w:spacing w:line="560" w:lineRule="exact"/>
        <w:jc w:val="left"/>
        <w:outlineLvl w:val="0"/>
        <w:rPr>
          <w:rFonts w:ascii="仿宋_GB2312" w:eastAsia="仿宋_GB2312"/>
          <w:sz w:val="32"/>
          <w:szCs w:val="32"/>
        </w:rPr>
      </w:pPr>
    </w:p>
    <w:p>
      <w:pPr>
        <w:spacing w:line="560" w:lineRule="exact"/>
        <w:ind w:firstLine="640" w:firstLineChars="200"/>
        <w:jc w:val="left"/>
        <w:outlineLvl w:val="0"/>
        <w:rPr>
          <w:rFonts w:ascii="仿宋_GB2312" w:eastAsia="仿宋_GB2312"/>
          <w:sz w:val="32"/>
          <w:szCs w:val="32"/>
        </w:rPr>
      </w:pPr>
      <w:r>
        <w:rPr>
          <w:rFonts w:hint="eastAsia" w:ascii="仿宋_GB2312" w:eastAsia="仿宋_GB2312"/>
          <w:sz w:val="32"/>
          <w:szCs w:val="32"/>
        </w:rPr>
        <w:t>第一部分2021年部门决算说明</w:t>
      </w:r>
    </w:p>
    <w:p>
      <w:pPr>
        <w:spacing w:line="560" w:lineRule="exact"/>
        <w:jc w:val="left"/>
        <w:outlineLvl w:val="0"/>
        <w:rPr>
          <w:rFonts w:ascii="仿宋_GB2312" w:eastAsia="仿宋_GB2312"/>
          <w:sz w:val="32"/>
          <w:szCs w:val="32"/>
        </w:rPr>
      </w:pPr>
    </w:p>
    <w:p>
      <w:pPr>
        <w:spacing w:line="560" w:lineRule="exact"/>
        <w:ind w:firstLine="640" w:firstLineChars="200"/>
        <w:jc w:val="left"/>
        <w:outlineLvl w:val="0"/>
        <w:rPr>
          <w:rFonts w:ascii="仿宋_GB2312" w:eastAsia="仿宋_GB2312"/>
          <w:sz w:val="32"/>
          <w:szCs w:val="32"/>
        </w:rPr>
      </w:pPr>
      <w:r>
        <w:rPr>
          <w:rFonts w:hint="eastAsia" w:ascii="仿宋_GB2312" w:eastAsia="仿宋_GB2312"/>
          <w:sz w:val="32"/>
          <w:szCs w:val="32"/>
        </w:rPr>
        <w:t>第二部分2021年部门决算报表</w:t>
      </w:r>
    </w:p>
    <w:p>
      <w:pPr>
        <w:spacing w:line="560" w:lineRule="exact"/>
        <w:ind w:firstLine="1280" w:firstLineChars="400"/>
        <w:jc w:val="left"/>
        <w:outlineLvl w:val="0"/>
        <w:rPr>
          <w:rFonts w:ascii="仿宋_GB2312" w:eastAsia="仿宋_GB2312"/>
          <w:sz w:val="32"/>
          <w:szCs w:val="32"/>
        </w:rPr>
      </w:pPr>
      <w:r>
        <w:rPr>
          <w:rFonts w:hint="eastAsia" w:ascii="仿宋_GB2312" w:eastAsia="仿宋_GB2312"/>
          <w:sz w:val="32"/>
          <w:szCs w:val="32"/>
        </w:rPr>
        <w:t>1.2021年收入支出决算总表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2.2021年收入决算表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3.2021年支出决算表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4.2021年财政拨款收入支出决算总表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5.2021年一般公共预算财政拨款支出决算表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6.2021年一般公共预算财政拨款基本支出决算表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7. 2021年政府性基金预算财政拨款支出决算表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8. 2021年政府性基金预算财政拨款基本支出决算表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9. 2021年国有资本经营预算财政拨款支出决算表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10.2021年财政拨款“三公”经费支出决算表</w:t>
      </w:r>
    </w:p>
    <w:p>
      <w:pPr>
        <w:spacing w:line="560" w:lineRule="exact"/>
        <w:ind w:firstLine="1280" w:firstLineChars="400"/>
        <w:rPr>
          <w:rFonts w:ascii="仿宋_GB2312" w:hAnsi="楷体" w:eastAsia="仿宋_GB2312"/>
          <w:sz w:val="32"/>
          <w:szCs w:val="32"/>
        </w:rPr>
      </w:pPr>
      <w:r>
        <w:rPr>
          <w:rFonts w:hint="eastAsia" w:ascii="仿宋_GB2312" w:hAnsi="楷体" w:eastAsia="仿宋_GB2312"/>
          <w:sz w:val="32"/>
          <w:szCs w:val="32"/>
        </w:rPr>
        <w:t>11.2021年政府采购情况表</w:t>
      </w:r>
    </w:p>
    <w:p>
      <w:pPr>
        <w:spacing w:line="560" w:lineRule="exact"/>
        <w:ind w:firstLine="1280" w:firstLineChars="400"/>
        <w:rPr>
          <w:rFonts w:ascii="仿宋_GB2312" w:hAnsi="楷体" w:eastAsia="仿宋_GB2312"/>
          <w:sz w:val="32"/>
          <w:szCs w:val="32"/>
        </w:rPr>
      </w:pPr>
      <w:bookmarkStart w:id="0" w:name="_GoBack"/>
      <w:bookmarkEnd w:id="0"/>
      <w:r>
        <w:rPr>
          <w:rFonts w:hint="eastAsia" w:ascii="仿宋_GB2312" w:hAnsi="楷体" w:eastAsia="仿宋_GB2312"/>
          <w:sz w:val="32"/>
          <w:szCs w:val="32"/>
        </w:rPr>
        <w:t>12.2021年政府购买服务支出情况表</w:t>
      </w:r>
    </w:p>
    <w:p>
      <w:pPr>
        <w:spacing w:line="560" w:lineRule="exact"/>
        <w:ind w:firstLine="640" w:firstLineChars="200"/>
        <w:rPr>
          <w:rFonts w:ascii="仿宋_GB2312" w:hAnsi="楷体" w:eastAsia="仿宋_GB2312"/>
          <w:sz w:val="32"/>
          <w:szCs w:val="32"/>
        </w:rPr>
      </w:pPr>
    </w:p>
    <w:p>
      <w:pPr>
        <w:spacing w:line="560" w:lineRule="exact"/>
        <w:rPr>
          <w:rFonts w:ascii="仿宋" w:hAnsi="仿宋" w:eastAsia="仿宋"/>
          <w:b/>
          <w:sz w:val="32"/>
          <w:szCs w:val="32"/>
        </w:rPr>
      </w:pPr>
    </w:p>
    <w:p>
      <w:pPr>
        <w:spacing w:line="560" w:lineRule="exact"/>
        <w:rPr>
          <w:rFonts w:ascii="仿宋" w:hAnsi="仿宋" w:eastAsia="仿宋"/>
          <w:b/>
          <w:sz w:val="32"/>
          <w:szCs w:val="32"/>
        </w:rPr>
      </w:pPr>
    </w:p>
    <w:p>
      <w:pPr>
        <w:spacing w:line="560" w:lineRule="exact"/>
        <w:outlineLvl w:val="0"/>
        <w:rPr>
          <w:rFonts w:ascii="黑体" w:eastAsia="黑体"/>
          <w:sz w:val="44"/>
          <w:szCs w:val="44"/>
        </w:rPr>
      </w:pPr>
    </w:p>
    <w:p>
      <w:pPr>
        <w:spacing w:line="560" w:lineRule="exact"/>
        <w:jc w:val="center"/>
        <w:outlineLvl w:val="0"/>
        <w:rPr>
          <w:rFonts w:ascii="黑体" w:eastAsia="黑体"/>
          <w:sz w:val="36"/>
          <w:szCs w:val="36"/>
        </w:rPr>
      </w:pPr>
      <w:r>
        <w:rPr>
          <w:rFonts w:hint="eastAsia" w:ascii="黑体" w:eastAsia="黑体"/>
          <w:sz w:val="36"/>
          <w:szCs w:val="36"/>
        </w:rPr>
        <w:t>第一部分    2021年部门决算说明</w:t>
      </w:r>
    </w:p>
    <w:p>
      <w:pPr>
        <w:spacing w:line="560" w:lineRule="exact"/>
        <w:ind w:firstLine="640" w:firstLineChars="200"/>
        <w:rPr>
          <w:rFonts w:ascii="仿宋_GB2312" w:eastAsia="仿宋_GB2312"/>
          <w:sz w:val="32"/>
          <w:szCs w:val="32"/>
        </w:rPr>
      </w:pP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一、部门基本情况</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（一）部门职责</w:t>
      </w:r>
    </w:p>
    <w:p>
      <w:pPr>
        <w:spacing w:line="560" w:lineRule="exact"/>
        <w:ind w:firstLine="480" w:firstLineChars="150"/>
        <w:rPr>
          <w:rFonts w:ascii="仿宋_GB2312" w:eastAsia="仿宋_GB2312"/>
          <w:sz w:val="32"/>
          <w:szCs w:val="32"/>
        </w:rPr>
      </w:pPr>
      <w:r>
        <w:rPr>
          <w:rFonts w:hint="eastAsia" w:ascii="仿宋_GB2312" w:hAnsi="仿宋" w:eastAsia="仿宋_GB2312"/>
          <w:sz w:val="32"/>
          <w:szCs w:val="32"/>
        </w:rPr>
        <w:t>北京市西城区文物管理处为全额事业单位，主要负责郭守敬纪念馆、万松老人塔等区域各级各类文物的对外开放、保护管理、维护修缮、藏品保管和宣传陈列等日常管理工作。</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（二）人员构成及内设机构情况</w:t>
      </w:r>
    </w:p>
    <w:p>
      <w:pPr>
        <w:spacing w:line="560" w:lineRule="exact"/>
        <w:ind w:firstLine="768" w:firstLineChars="240"/>
        <w:jc w:val="left"/>
        <w:rPr>
          <w:rFonts w:ascii="仿宋_GB2312" w:hAnsi="仿宋" w:eastAsia="仿宋_GB2312"/>
          <w:sz w:val="32"/>
          <w:szCs w:val="32"/>
        </w:rPr>
      </w:pPr>
      <w:r>
        <w:rPr>
          <w:rFonts w:hint="eastAsia" w:ascii="仿宋_GB2312" w:eastAsia="仿宋_GB2312"/>
          <w:sz w:val="32"/>
          <w:szCs w:val="32"/>
        </w:rPr>
        <w:t>北京市西城区文物管理处</w:t>
      </w:r>
      <w:r>
        <w:rPr>
          <w:rFonts w:hint="eastAsia" w:ascii="仿宋_GB2312" w:hAnsi="仿宋" w:eastAsia="仿宋_GB2312"/>
          <w:sz w:val="32"/>
          <w:szCs w:val="32"/>
        </w:rPr>
        <w:t>编制人员为7名，年末在职人员5人，无退休人员。</w:t>
      </w:r>
    </w:p>
    <w:p>
      <w:pPr>
        <w:spacing w:line="560" w:lineRule="exact"/>
        <w:ind w:firstLine="768" w:firstLineChars="240"/>
        <w:jc w:val="left"/>
        <w:rPr>
          <w:rFonts w:ascii="仿宋_GB2312" w:hAnsi="仿宋" w:eastAsia="仿宋_GB2312"/>
          <w:sz w:val="32"/>
          <w:szCs w:val="32"/>
        </w:rPr>
      </w:pPr>
      <w:r>
        <w:rPr>
          <w:rFonts w:hint="eastAsia" w:ascii="仿宋_GB2312" w:hAnsi="仿宋" w:eastAsia="仿宋_GB2312"/>
          <w:sz w:val="32"/>
          <w:szCs w:val="32"/>
        </w:rPr>
        <w:t>北京市西城区文物管理处设2个内设部门，分别是办公室和业务室。</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（三）汇总编制部门决算单位构成</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北京市西城区文物管理处汇总编制部门决算单位为1户。</w:t>
      </w:r>
    </w:p>
    <w:p>
      <w:pPr>
        <w:spacing w:line="560" w:lineRule="exact"/>
        <w:ind w:firstLine="643" w:firstLineChars="200"/>
        <w:rPr>
          <w:rFonts w:ascii="仿宋_GB2312" w:eastAsia="仿宋_GB2312"/>
          <w:b/>
          <w:color w:val="0000FF"/>
          <w:sz w:val="32"/>
          <w:szCs w:val="32"/>
        </w:rPr>
      </w:pPr>
      <w:r>
        <w:rPr>
          <w:rFonts w:hint="eastAsia" w:ascii="仿宋_GB2312" w:eastAsia="仿宋_GB2312"/>
          <w:b/>
          <w:sz w:val="32"/>
          <w:szCs w:val="32"/>
        </w:rPr>
        <w:t>二、2021年收入支出决算总体情况说明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2021年收入决算9,415.627021万元，其中：财政拨款9,415.627021万元，事业收入0万元，其他收入0万元。2021年收入决算与2021年年初收入预算相比增加了142.78%，主要原因是年中收到调增谦祥益文物修缮工程</w:t>
      </w:r>
      <w:r>
        <w:rPr>
          <w:rFonts w:ascii="仿宋_GB2312" w:eastAsia="仿宋_GB2312"/>
          <w:sz w:val="32"/>
          <w:szCs w:val="32"/>
        </w:rPr>
        <w:t>650</w:t>
      </w:r>
      <w:r>
        <w:rPr>
          <w:rFonts w:hint="eastAsia" w:ascii="仿宋_GB2312" w:eastAsia="仿宋_GB2312"/>
          <w:sz w:val="32"/>
          <w:szCs w:val="32"/>
        </w:rPr>
        <w:t>.</w:t>
      </w:r>
      <w:r>
        <w:rPr>
          <w:rFonts w:ascii="仿宋_GB2312" w:eastAsia="仿宋_GB2312"/>
          <w:sz w:val="32"/>
          <w:szCs w:val="32"/>
        </w:rPr>
        <w:t>613419</w:t>
      </w:r>
      <w:r>
        <w:rPr>
          <w:rFonts w:hint="eastAsia" w:ascii="仿宋_GB2312" w:eastAsia="仿宋_GB2312"/>
          <w:sz w:val="32"/>
          <w:szCs w:val="32"/>
        </w:rPr>
        <w:t>万元和贤良祠腾退项目3,772.00万元。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2021年支出决算为10,887.684475万元，与年初支出预算相比增加了180.74%，主要原因是支出调增谦祥益文物修缮工程</w:t>
      </w:r>
      <w:r>
        <w:rPr>
          <w:rFonts w:ascii="仿宋_GB2312" w:eastAsia="仿宋_GB2312"/>
          <w:sz w:val="32"/>
          <w:szCs w:val="32"/>
        </w:rPr>
        <w:t>650</w:t>
      </w:r>
      <w:r>
        <w:rPr>
          <w:rFonts w:hint="eastAsia" w:ascii="仿宋_GB2312" w:eastAsia="仿宋_GB2312"/>
          <w:sz w:val="32"/>
          <w:szCs w:val="32"/>
        </w:rPr>
        <w:t>.</w:t>
      </w:r>
      <w:r>
        <w:rPr>
          <w:rFonts w:ascii="仿宋_GB2312" w:eastAsia="仿宋_GB2312"/>
          <w:sz w:val="32"/>
          <w:szCs w:val="32"/>
        </w:rPr>
        <w:t>613419</w:t>
      </w:r>
      <w:r>
        <w:rPr>
          <w:rFonts w:hint="eastAsia" w:ascii="仿宋_GB2312" w:eastAsia="仿宋_GB2312"/>
          <w:sz w:val="32"/>
          <w:szCs w:val="32"/>
        </w:rPr>
        <w:t>万元和贤良祠腾退项目3,772.00万元。其中：基本支出</w:t>
      </w:r>
      <w:r>
        <w:rPr>
          <w:rFonts w:ascii="仿宋_GB2312" w:eastAsia="仿宋_GB2312"/>
          <w:sz w:val="32"/>
          <w:szCs w:val="32"/>
        </w:rPr>
        <w:t>146</w:t>
      </w:r>
      <w:r>
        <w:rPr>
          <w:rFonts w:hint="eastAsia" w:ascii="仿宋_GB2312" w:eastAsia="仿宋_GB2312"/>
          <w:sz w:val="32"/>
          <w:szCs w:val="32"/>
        </w:rPr>
        <w:t>.</w:t>
      </w:r>
      <w:r>
        <w:rPr>
          <w:rFonts w:ascii="仿宋_GB2312" w:eastAsia="仿宋_GB2312"/>
          <w:sz w:val="32"/>
          <w:szCs w:val="32"/>
        </w:rPr>
        <w:t>147791</w:t>
      </w:r>
      <w:r>
        <w:rPr>
          <w:rFonts w:hint="eastAsia" w:ascii="仿宋_GB2312" w:eastAsia="仿宋_GB2312"/>
          <w:sz w:val="32"/>
          <w:szCs w:val="32"/>
        </w:rPr>
        <w:t>万元，占1.34%%；项目支出</w:t>
      </w:r>
      <w:r>
        <w:rPr>
          <w:rFonts w:ascii="仿宋_GB2312" w:eastAsia="仿宋_GB2312"/>
          <w:sz w:val="32"/>
          <w:szCs w:val="32"/>
        </w:rPr>
        <w:t>10</w:t>
      </w:r>
      <w:r>
        <w:rPr>
          <w:rFonts w:hint="eastAsia" w:ascii="仿宋_GB2312" w:eastAsia="仿宋_GB2312"/>
          <w:sz w:val="32"/>
          <w:szCs w:val="32"/>
        </w:rPr>
        <w:t>,</w:t>
      </w:r>
      <w:r>
        <w:rPr>
          <w:rFonts w:ascii="仿宋_GB2312" w:eastAsia="仿宋_GB2312"/>
          <w:sz w:val="32"/>
          <w:szCs w:val="32"/>
        </w:rPr>
        <w:t>741</w:t>
      </w:r>
      <w:r>
        <w:rPr>
          <w:rFonts w:hint="eastAsia" w:ascii="仿宋_GB2312" w:eastAsia="仿宋_GB2312"/>
          <w:sz w:val="32"/>
          <w:szCs w:val="32"/>
        </w:rPr>
        <w:t>.</w:t>
      </w:r>
      <w:r>
        <w:rPr>
          <w:rFonts w:ascii="仿宋_GB2312" w:eastAsia="仿宋_GB2312"/>
          <w:sz w:val="32"/>
          <w:szCs w:val="32"/>
        </w:rPr>
        <w:t>536684</w:t>
      </w:r>
      <w:r>
        <w:rPr>
          <w:rFonts w:hint="eastAsia" w:ascii="仿宋_GB2312" w:eastAsia="仿宋_GB2312"/>
          <w:sz w:val="32"/>
          <w:szCs w:val="32"/>
        </w:rPr>
        <w:t>万元，占98.66%。</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2021年年末结转和结余</w:t>
      </w:r>
      <w:r>
        <w:rPr>
          <w:rFonts w:ascii="仿宋_GB2312" w:eastAsia="仿宋_GB2312"/>
          <w:sz w:val="32"/>
          <w:szCs w:val="32"/>
        </w:rPr>
        <w:t>54</w:t>
      </w:r>
      <w:r>
        <w:rPr>
          <w:rFonts w:hint="eastAsia" w:ascii="仿宋_GB2312" w:eastAsia="仿宋_GB2312"/>
          <w:sz w:val="32"/>
          <w:szCs w:val="32"/>
        </w:rPr>
        <w:t>.</w:t>
      </w:r>
      <w:r>
        <w:rPr>
          <w:rFonts w:ascii="仿宋_GB2312" w:eastAsia="仿宋_GB2312"/>
          <w:sz w:val="32"/>
          <w:szCs w:val="32"/>
        </w:rPr>
        <w:t>233626</w:t>
      </w:r>
      <w:r>
        <w:rPr>
          <w:rFonts w:hint="eastAsia" w:ascii="仿宋_GB2312" w:eastAsia="仿宋_GB2312"/>
          <w:sz w:val="32"/>
          <w:szCs w:val="32"/>
        </w:rPr>
        <w:t>万元。</w:t>
      </w:r>
    </w:p>
    <w:p>
      <w:pPr>
        <w:spacing w:line="560" w:lineRule="exact"/>
        <w:ind w:left="581" w:leftChars="200" w:hanging="161" w:hangingChars="50"/>
        <w:rPr>
          <w:rFonts w:ascii="仿宋_GB2312" w:eastAsia="仿宋_GB2312"/>
          <w:b/>
          <w:sz w:val="32"/>
          <w:szCs w:val="32"/>
        </w:rPr>
      </w:pPr>
      <w:r>
        <w:rPr>
          <w:rFonts w:hint="eastAsia" w:ascii="仿宋_GB2312" w:eastAsia="仿宋_GB2312"/>
          <w:b/>
          <w:sz w:val="32"/>
          <w:szCs w:val="32"/>
        </w:rPr>
        <w:t>三、2021年一般公共预算财政拨款支出决算情况说明</w:t>
      </w:r>
    </w:p>
    <w:p>
      <w:pPr>
        <w:spacing w:line="560" w:lineRule="exact"/>
        <w:ind w:left="580" w:leftChars="200" w:hanging="160" w:hangingChars="50"/>
        <w:rPr>
          <w:rFonts w:ascii="仿宋_GB2312" w:eastAsia="仿宋_GB2312"/>
          <w:sz w:val="32"/>
          <w:szCs w:val="32"/>
        </w:rPr>
      </w:pPr>
      <w:r>
        <w:rPr>
          <w:rFonts w:hint="eastAsia" w:ascii="仿宋_GB2312" w:eastAsia="仿宋_GB2312"/>
          <w:sz w:val="32"/>
          <w:szCs w:val="32"/>
        </w:rPr>
        <w:t>（一）一般公共预算财政拨款支出决算总体情况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2021年财政拨款支出10,887.684475万元，主要用于以下方面：文化旅游体育与传媒支出</w:t>
      </w:r>
      <w:r>
        <w:rPr>
          <w:rFonts w:ascii="仿宋_GB2312" w:eastAsia="仿宋_GB2312"/>
          <w:sz w:val="32"/>
          <w:szCs w:val="32"/>
        </w:rPr>
        <w:t>10</w:t>
      </w:r>
      <w:r>
        <w:rPr>
          <w:rFonts w:hint="eastAsia" w:ascii="仿宋_GB2312" w:eastAsia="仿宋_GB2312"/>
          <w:sz w:val="32"/>
          <w:szCs w:val="32"/>
        </w:rPr>
        <w:t>,</w:t>
      </w:r>
      <w:r>
        <w:rPr>
          <w:rFonts w:ascii="仿宋_GB2312" w:eastAsia="仿宋_GB2312"/>
          <w:sz w:val="32"/>
          <w:szCs w:val="32"/>
        </w:rPr>
        <w:t>839.889351</w:t>
      </w:r>
      <w:r>
        <w:rPr>
          <w:rFonts w:hint="eastAsia" w:ascii="仿宋_GB2312" w:eastAsia="仿宋_GB2312"/>
          <w:sz w:val="32"/>
          <w:szCs w:val="32"/>
        </w:rPr>
        <w:t>万元，占本年财政拨款支出99.56%；社会保障和就业支出</w:t>
      </w:r>
      <w:r>
        <w:rPr>
          <w:rFonts w:ascii="仿宋_GB2312" w:eastAsia="仿宋_GB2312"/>
          <w:sz w:val="32"/>
          <w:szCs w:val="32"/>
        </w:rPr>
        <w:t>15.871968</w:t>
      </w:r>
      <w:r>
        <w:rPr>
          <w:rFonts w:hint="eastAsia" w:ascii="仿宋_GB2312" w:eastAsia="仿宋_GB2312"/>
          <w:sz w:val="32"/>
          <w:szCs w:val="32"/>
        </w:rPr>
        <w:t>万元，占本年财政拨款支出0.15%；卫生健康支出</w:t>
      </w:r>
      <w:r>
        <w:rPr>
          <w:rFonts w:ascii="仿宋_GB2312" w:eastAsia="仿宋_GB2312"/>
          <w:sz w:val="32"/>
          <w:szCs w:val="32"/>
        </w:rPr>
        <w:t>11.025756</w:t>
      </w:r>
      <w:r>
        <w:rPr>
          <w:rFonts w:hint="eastAsia" w:ascii="仿宋_GB2312" w:eastAsia="仿宋_GB2312"/>
          <w:sz w:val="32"/>
          <w:szCs w:val="32"/>
        </w:rPr>
        <w:t>万元，占本年财政拨款支出0.10%；住房保障支出</w:t>
      </w:r>
      <w:r>
        <w:rPr>
          <w:rFonts w:ascii="仿宋_GB2312" w:eastAsia="仿宋_GB2312"/>
          <w:sz w:val="32"/>
          <w:szCs w:val="32"/>
        </w:rPr>
        <w:t>20.8974</w:t>
      </w:r>
      <w:r>
        <w:rPr>
          <w:rFonts w:hint="eastAsia" w:ascii="仿宋_GB2312" w:eastAsia="仿宋_GB2312"/>
          <w:sz w:val="32"/>
          <w:szCs w:val="32"/>
        </w:rPr>
        <w:t>万元，占本年财政拨款支出0.19%。</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（二）一般公共预算财政拨款支出决算具体情况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1.2021年支出决算按支出性质划分：</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2021年一般公共预算财政拨款支出10,887.684475万元，比2021年年初预算增加了180.74%。其中：</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（1）基本支出决算</w:t>
      </w:r>
      <w:r>
        <w:rPr>
          <w:rFonts w:ascii="仿宋_GB2312" w:eastAsia="仿宋_GB2312"/>
          <w:sz w:val="32"/>
          <w:szCs w:val="32"/>
        </w:rPr>
        <w:t>146.147791</w:t>
      </w:r>
      <w:r>
        <w:rPr>
          <w:rFonts w:hint="eastAsia" w:ascii="仿宋_GB2312" w:eastAsia="仿宋_GB2312"/>
          <w:sz w:val="32"/>
          <w:szCs w:val="32"/>
        </w:rPr>
        <w:t>万元，比2021年年初预算减少了10.34%。主要原因</w:t>
      </w:r>
      <w:r>
        <w:rPr>
          <w:rFonts w:hint="eastAsia" w:ascii="仿宋_GB2312" w:hAnsi="仿宋_GB2312" w:eastAsia="仿宋_GB2312" w:cs="仿宋_GB2312"/>
          <w:sz w:val="32"/>
          <w:szCs w:val="32"/>
        </w:rPr>
        <w:t>是调整保险缴费比例，缴费金额下降。</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（2）项目支出决算</w:t>
      </w:r>
      <w:r>
        <w:rPr>
          <w:rFonts w:ascii="仿宋_GB2312" w:eastAsia="仿宋_GB2312"/>
          <w:sz w:val="32"/>
          <w:szCs w:val="32"/>
        </w:rPr>
        <w:t>10741.536684</w:t>
      </w:r>
      <w:r>
        <w:rPr>
          <w:rFonts w:hint="eastAsia" w:ascii="仿宋_GB2312" w:eastAsia="仿宋_GB2312"/>
          <w:sz w:val="32"/>
          <w:szCs w:val="32"/>
        </w:rPr>
        <w:t>万元，比2021年年初预算增加了190.58%。主要增加了文物腾退资金和文物修缮资金支出。</w:t>
      </w:r>
    </w:p>
    <w:p>
      <w:pPr>
        <w:spacing w:line="560" w:lineRule="exact"/>
        <w:ind w:firstLine="800" w:firstLineChars="250"/>
        <w:rPr>
          <w:rFonts w:ascii="仿宋_GB2312" w:eastAsia="仿宋_GB2312"/>
          <w:sz w:val="32"/>
          <w:szCs w:val="32"/>
        </w:rPr>
      </w:pPr>
      <w:r>
        <w:rPr>
          <w:rFonts w:hint="eastAsia" w:ascii="仿宋_GB2312" w:eastAsia="仿宋_GB2312"/>
          <w:sz w:val="32"/>
          <w:szCs w:val="32"/>
        </w:rPr>
        <w:t>2.</w:t>
      </w:r>
      <w:r>
        <w:rPr>
          <w:rFonts w:hint="eastAsia" w:ascii="仿宋_GB2312" w:hAnsi="仿宋_GB2312" w:eastAsia="仿宋_GB2312" w:cs="仿宋_GB2312"/>
          <w:sz w:val="32"/>
          <w:szCs w:val="32"/>
        </w:rPr>
        <w:t>支出主要项目是①文物腾退；②文物修缮与保护等。</w:t>
      </w:r>
    </w:p>
    <w:p>
      <w:pPr>
        <w:spacing w:line="560" w:lineRule="exact"/>
        <w:ind w:firstLine="803" w:firstLineChars="250"/>
        <w:rPr>
          <w:rFonts w:ascii="仿宋_GB2312" w:eastAsia="仿宋_GB2312"/>
          <w:b/>
          <w:color w:val="0000FF"/>
          <w:sz w:val="32"/>
          <w:szCs w:val="32"/>
        </w:rPr>
      </w:pPr>
      <w:r>
        <w:rPr>
          <w:rFonts w:hint="eastAsia" w:ascii="仿宋_GB2312" w:eastAsia="仿宋_GB2312"/>
          <w:b/>
          <w:sz w:val="32"/>
          <w:szCs w:val="32"/>
        </w:rPr>
        <w:t>四、2021年一般公共预算财政拨款基本支出决算情况说明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2021年财政拨款基本支出</w:t>
      </w:r>
      <w:r>
        <w:rPr>
          <w:rFonts w:ascii="仿宋_GB2312" w:eastAsia="仿宋_GB2312"/>
          <w:sz w:val="32"/>
          <w:szCs w:val="32"/>
        </w:rPr>
        <w:t>146.147791</w:t>
      </w:r>
      <w:r>
        <w:rPr>
          <w:rFonts w:hint="eastAsia" w:ascii="仿宋_GB2312" w:eastAsia="仿宋_GB2312"/>
          <w:sz w:val="32"/>
          <w:szCs w:val="32"/>
        </w:rPr>
        <w:t>万元，其中：1.工资福利支出</w:t>
      </w:r>
      <w:r>
        <w:rPr>
          <w:rFonts w:ascii="仿宋_GB2312" w:eastAsia="仿宋_GB2312"/>
          <w:sz w:val="32"/>
          <w:szCs w:val="32"/>
        </w:rPr>
        <w:t>136.230716</w:t>
      </w:r>
      <w:r>
        <w:rPr>
          <w:rFonts w:hint="eastAsia" w:ascii="仿宋_GB2312" w:eastAsia="仿宋_GB2312"/>
          <w:sz w:val="32"/>
          <w:szCs w:val="32"/>
        </w:rPr>
        <w:t>万元（包括：基本工资、津贴补贴、绩效工资、机关事业单位基本养老缴费、职业年金缴费、职工基本医疗保险缴费、公务员医疗补助缴费、其他社会保障缴费、住房公积金、医疗费、其他工资福利支出等）;2.商品和服务支出</w:t>
      </w:r>
      <w:r>
        <w:rPr>
          <w:rFonts w:ascii="仿宋_GB2312" w:eastAsia="仿宋_GB2312"/>
          <w:sz w:val="32"/>
          <w:szCs w:val="32"/>
        </w:rPr>
        <w:t>9.917075</w:t>
      </w:r>
      <w:r>
        <w:rPr>
          <w:rFonts w:hint="eastAsia" w:ascii="仿宋_GB2312" w:eastAsia="仿宋_GB2312"/>
          <w:sz w:val="32"/>
          <w:szCs w:val="32"/>
        </w:rPr>
        <w:t>万元(办公费、印刷费、咨询费、手续费、水费、电费、邮电费、取暖费、物业管理费、差旅费、因公出国（境）费用、维修(护)费、租赁费、会议费、公务接待费、专用材料费、劳务费、委托业务费、工会经费、福利费、公务用车运行维护费、其他交通费、税金及附加费用、其他商品和服务支出等);3.对个人和家庭补助支出0万元；4.资本性支出（基本建设）0万元；5.资本性支出0万元。</w:t>
      </w:r>
    </w:p>
    <w:p>
      <w:pPr>
        <w:spacing w:line="560" w:lineRule="exact"/>
        <w:ind w:firstLine="630" w:firstLineChars="196"/>
        <w:rPr>
          <w:rFonts w:ascii="仿宋_GB2312" w:eastAsia="仿宋_GB2312"/>
          <w:b/>
          <w:sz w:val="32"/>
          <w:szCs w:val="32"/>
        </w:rPr>
      </w:pPr>
      <w:r>
        <w:rPr>
          <w:rFonts w:hint="eastAsia" w:ascii="仿宋_GB2312" w:eastAsia="仿宋_GB2312"/>
          <w:b/>
          <w:sz w:val="32"/>
          <w:szCs w:val="32"/>
        </w:rPr>
        <w:t>五、2021年政府性基金预算财政拨款支出决算情况说明</w:t>
      </w:r>
    </w:p>
    <w:p>
      <w:pPr>
        <w:spacing w:line="560" w:lineRule="exact"/>
        <w:ind w:firstLine="800" w:firstLineChars="250"/>
        <w:rPr>
          <w:rFonts w:ascii="仿宋_GB2312" w:eastAsia="仿宋_GB2312"/>
          <w:sz w:val="32"/>
          <w:szCs w:val="32"/>
        </w:rPr>
      </w:pPr>
      <w:r>
        <w:rPr>
          <w:rFonts w:hint="eastAsia" w:ascii="仿宋_GB2312" w:eastAsia="仿宋_GB2312"/>
          <w:sz w:val="32"/>
          <w:szCs w:val="32"/>
        </w:rPr>
        <w:t>我单位不涉及此项支出。</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六、2021年部门决算“三公”经费财政拨款支出情况说明</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决算单位范围：北京市西城区文物管理处部门决算中因公出国（境）费、公务接待费、公务用车购置及运行维护费的支出单位包括1个所属单位，即北京市西城区文物管理处。</w:t>
      </w:r>
    </w:p>
    <w:p>
      <w:pPr>
        <w:spacing w:line="560" w:lineRule="exact"/>
        <w:ind w:firstLine="640" w:firstLineChars="200"/>
        <w:rPr>
          <w:rFonts w:ascii="仿宋_GB2312" w:hAnsi="仿宋" w:eastAsia="仿宋_GB2312"/>
          <w:sz w:val="32"/>
          <w:szCs w:val="32"/>
        </w:rPr>
      </w:pPr>
      <w:r>
        <w:rPr>
          <w:rFonts w:hint="eastAsia" w:ascii="仿宋_GB2312" w:hAnsi="仿宋" w:eastAsia="仿宋_GB2312"/>
          <w:sz w:val="32"/>
          <w:szCs w:val="32"/>
        </w:rPr>
        <w:t>2021年“三公”经费财政拨款支出0万元，比2021年“三公”经费财政拨款年初预算减少了100%。其中：</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（一）因公出国（境）费</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2021年财政拨款因公出国（境）费支出0万元。</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因公出国（境）团组情况：本年度本单位使用公共预算财政拨款安排的出国（境）团组0个，参加其他单位组织的出国（境）团组0个；全年因公出国（境）累计0人次。我单位2021年因公出国（境）费为0万元，与2021年初预算相符。</w:t>
      </w:r>
    </w:p>
    <w:p>
      <w:p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（二）公务接待费</w:t>
      </w:r>
    </w:p>
    <w:p>
      <w:pPr>
        <w:spacing w:line="560" w:lineRule="exact"/>
        <w:ind w:firstLine="640" w:firstLineChars="200"/>
        <w:rPr>
          <w:rFonts w:ascii="宋体" w:hAnsi="宋体" w:cs="Arial"/>
          <w:kern w:val="0"/>
          <w:sz w:val="20"/>
          <w:szCs w:val="20"/>
        </w:rPr>
      </w:pPr>
      <w:r>
        <w:rPr>
          <w:rFonts w:hint="eastAsia" w:ascii="仿宋_GB2312" w:hAnsi="黑体" w:eastAsia="仿宋_GB2312"/>
          <w:sz w:val="32"/>
          <w:szCs w:val="32"/>
        </w:rPr>
        <w:t>2021年</w:t>
      </w:r>
      <w:r>
        <w:rPr>
          <w:rFonts w:hint="eastAsia" w:ascii="仿宋_GB2312" w:eastAsia="仿宋_GB2312"/>
          <w:sz w:val="32"/>
          <w:szCs w:val="32"/>
        </w:rPr>
        <w:t>公共预算财政拨款支出</w:t>
      </w:r>
      <w:r>
        <w:rPr>
          <w:rFonts w:hint="eastAsia" w:ascii="仿宋_GB2312" w:hAnsi="黑体" w:eastAsia="仿宋_GB2312"/>
          <w:sz w:val="32"/>
          <w:szCs w:val="32"/>
        </w:rPr>
        <w:t>0万元，</w:t>
      </w:r>
      <w:r>
        <w:rPr>
          <w:rFonts w:hint="eastAsia" w:ascii="仿宋_GB2312" w:eastAsia="仿宋_GB2312"/>
          <w:sz w:val="32"/>
          <w:szCs w:val="32"/>
        </w:rPr>
        <w:t>本年度本单位使用公共预算财政拨款支出的国内公务接待0批次，0人次，共外事接待0人次，0万元，与</w:t>
      </w:r>
      <w:r>
        <w:rPr>
          <w:rFonts w:hint="eastAsia" w:ascii="仿宋_GB2312" w:hAnsi="黑体" w:eastAsia="仿宋_GB2312"/>
          <w:sz w:val="32"/>
          <w:szCs w:val="32"/>
        </w:rPr>
        <w:t xml:space="preserve">2021年初预算相比减少支出0.075984万元，原因是无支出。  </w:t>
      </w:r>
    </w:p>
    <w:p>
      <w:pPr>
        <w:numPr>
          <w:ilvl w:val="0"/>
          <w:numId w:val="1"/>
        </w:numPr>
        <w:spacing w:line="560" w:lineRule="exact"/>
        <w:ind w:firstLine="640" w:firstLineChars="200"/>
        <w:rPr>
          <w:rFonts w:ascii="仿宋_GB2312" w:hAnsi="黑体" w:eastAsia="仿宋_GB2312"/>
          <w:sz w:val="32"/>
          <w:szCs w:val="32"/>
        </w:rPr>
      </w:pPr>
      <w:r>
        <w:rPr>
          <w:rFonts w:hint="eastAsia" w:ascii="仿宋_GB2312" w:hAnsi="黑体" w:eastAsia="仿宋_GB2312"/>
          <w:sz w:val="32"/>
          <w:szCs w:val="32"/>
        </w:rPr>
        <w:t>公务用车购置及运行维护费</w:t>
      </w:r>
    </w:p>
    <w:p>
      <w:pPr>
        <w:spacing w:line="560" w:lineRule="exact"/>
        <w:ind w:firstLine="640" w:firstLineChars="200"/>
        <w:rPr>
          <w:rFonts w:ascii="仿宋" w:hAnsi="仿宋" w:eastAsia="仿宋"/>
          <w:sz w:val="32"/>
          <w:szCs w:val="32"/>
        </w:rPr>
      </w:pPr>
      <w:r>
        <w:rPr>
          <w:rFonts w:hint="eastAsia" w:ascii="仿宋_GB2312" w:hAnsi="黑体" w:eastAsia="仿宋_GB2312"/>
          <w:sz w:val="32"/>
          <w:szCs w:val="32"/>
        </w:rPr>
        <w:t>2021年公务用车购置及运行维护费支出0万元</w:t>
      </w:r>
      <w:r>
        <w:rPr>
          <w:rFonts w:hint="eastAsia" w:ascii="仿宋" w:hAnsi="仿宋" w:eastAsia="仿宋"/>
          <w:sz w:val="32"/>
          <w:szCs w:val="32"/>
        </w:rPr>
        <w:t>。</w:t>
      </w:r>
    </w:p>
    <w:p>
      <w:pPr>
        <w:spacing w:line="560" w:lineRule="exact"/>
        <w:ind w:firstLine="803" w:firstLineChars="250"/>
        <w:rPr>
          <w:rFonts w:ascii="仿宋_GB2312" w:eastAsia="仿宋_GB2312"/>
          <w:b/>
          <w:sz w:val="32"/>
          <w:szCs w:val="32"/>
        </w:rPr>
      </w:pPr>
      <w:r>
        <w:rPr>
          <w:rFonts w:hint="eastAsia" w:ascii="仿宋_GB2312" w:eastAsia="仿宋_GB2312"/>
          <w:b/>
          <w:sz w:val="32"/>
          <w:szCs w:val="32"/>
        </w:rPr>
        <w:t>七、2021年其他重要事项的情况说明</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（一）机关运行经费支出情况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我单位为财政补助事业单位，无机关运行经费支出。</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（二）2021年涉及政府采购项目决算资金为</w:t>
      </w:r>
      <w:r>
        <w:rPr>
          <w:rFonts w:ascii="仿宋_GB2312" w:eastAsia="仿宋_GB2312"/>
          <w:sz w:val="32"/>
          <w:szCs w:val="32"/>
        </w:rPr>
        <w:t>391.27</w:t>
      </w:r>
      <w:r>
        <w:rPr>
          <w:rFonts w:hint="eastAsia" w:ascii="仿宋_GB2312" w:eastAsia="仿宋_GB2312"/>
          <w:sz w:val="32"/>
          <w:szCs w:val="32"/>
        </w:rPr>
        <w:t>万元。其中：政府采购货物支出0万元，政府采购工程支出</w:t>
      </w:r>
      <w:r>
        <w:rPr>
          <w:rFonts w:ascii="仿宋_GB2312" w:eastAsia="仿宋_GB2312"/>
          <w:sz w:val="32"/>
          <w:szCs w:val="32"/>
        </w:rPr>
        <w:t>358.47</w:t>
      </w:r>
      <w:r>
        <w:rPr>
          <w:rFonts w:hint="eastAsia" w:ascii="仿宋_GB2312" w:eastAsia="仿宋_GB2312"/>
          <w:sz w:val="32"/>
          <w:szCs w:val="32"/>
        </w:rPr>
        <w:t>万元，政府采购服务支出</w:t>
      </w:r>
      <w:r>
        <w:rPr>
          <w:rFonts w:ascii="仿宋_GB2312" w:eastAsia="仿宋_GB2312"/>
          <w:sz w:val="32"/>
          <w:szCs w:val="32"/>
        </w:rPr>
        <w:t>32.8</w:t>
      </w:r>
      <w:r>
        <w:rPr>
          <w:rFonts w:hint="eastAsia" w:ascii="仿宋_GB2312" w:eastAsia="仿宋_GB2312"/>
          <w:sz w:val="32"/>
          <w:szCs w:val="32"/>
        </w:rPr>
        <w:t>0万元。</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（三）2021年涉及政府购买服务项目0个。</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 xml:space="preserve"> 我单位为公益一类事业单位，不涉及政府购买服务项目。</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（四）国有资产占用情况</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截止到2021年12月31日，我单位占用资产总额1,555.853577万元，固定资产（原值）57.954180万元，其中：车辆0台，0万元；通用设备价值</w:t>
      </w:r>
      <w:r>
        <w:rPr>
          <w:rFonts w:ascii="仿宋_GB2312" w:eastAsia="仿宋_GB2312"/>
          <w:sz w:val="32"/>
          <w:szCs w:val="32"/>
        </w:rPr>
        <w:t>46</w:t>
      </w:r>
      <w:r>
        <w:rPr>
          <w:rFonts w:hint="eastAsia" w:ascii="仿宋_GB2312" w:eastAsia="仿宋_GB2312"/>
          <w:sz w:val="32"/>
          <w:szCs w:val="32"/>
        </w:rPr>
        <w:t>.</w:t>
      </w:r>
      <w:r>
        <w:rPr>
          <w:rFonts w:ascii="仿宋_GB2312" w:eastAsia="仿宋_GB2312"/>
          <w:sz w:val="32"/>
          <w:szCs w:val="32"/>
        </w:rPr>
        <w:t>152607</w:t>
      </w:r>
      <w:r>
        <w:rPr>
          <w:rFonts w:hint="eastAsia" w:ascii="仿宋_GB2312" w:eastAsia="仿宋_GB2312"/>
          <w:sz w:val="32"/>
          <w:szCs w:val="32"/>
        </w:rPr>
        <w:t>万元，单位价值50万元以上的通用设备0台（套）、0万元,单位价值100万元以上的专用设备0台（套）、0万元,其他专用设备价值</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6589</w:t>
      </w:r>
      <w:r>
        <w:rPr>
          <w:rFonts w:hint="eastAsia" w:ascii="仿宋_GB2312" w:eastAsia="仿宋_GB2312"/>
          <w:sz w:val="32"/>
          <w:szCs w:val="32"/>
        </w:rPr>
        <w:t>万元；图书资料价值0.097673万元；家具、用具装具及动植物价值8.0450万元；无形资产0万元。</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（五）国有资本经营预算拨款收支情况</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无此项收支</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（六）绩效目标开展情况</w:t>
      </w:r>
    </w:p>
    <w:p>
      <w:pPr>
        <w:spacing w:line="560" w:lineRule="exact"/>
        <w:ind w:firstLine="480" w:firstLineChars="150"/>
        <w:rPr>
          <w:rFonts w:ascii="仿宋_GB2312" w:eastAsia="仿宋_GB2312"/>
          <w:sz w:val="32"/>
          <w:szCs w:val="32"/>
        </w:rPr>
      </w:pPr>
      <w:r>
        <w:rPr>
          <w:rFonts w:hint="eastAsia" w:ascii="仿宋_GB2312" w:eastAsia="仿宋_GB2312"/>
          <w:sz w:val="32"/>
          <w:szCs w:val="32"/>
        </w:rPr>
        <w:t>2021年我单位区级财政绩效跟踪项目1个，跟踪项目名称文物修缮工程，跟踪金额</w:t>
      </w:r>
      <w:r>
        <w:rPr>
          <w:rFonts w:ascii="仿宋_GB2312" w:eastAsia="仿宋_GB2312"/>
          <w:sz w:val="32"/>
          <w:szCs w:val="32"/>
        </w:rPr>
        <w:t>3</w:t>
      </w:r>
      <w:r>
        <w:rPr>
          <w:rFonts w:hint="eastAsia" w:ascii="仿宋_GB2312" w:eastAsia="仿宋_GB2312"/>
          <w:sz w:val="32"/>
          <w:szCs w:val="32"/>
        </w:rPr>
        <w:t>,</w:t>
      </w:r>
      <w:r>
        <w:rPr>
          <w:rFonts w:ascii="仿宋_GB2312" w:eastAsia="仿宋_GB2312"/>
          <w:sz w:val="32"/>
          <w:szCs w:val="32"/>
        </w:rPr>
        <w:t>339.48</w:t>
      </w:r>
      <w:r>
        <w:rPr>
          <w:rFonts w:hint="eastAsia" w:ascii="仿宋_GB2312" w:eastAsia="仿宋_GB2312"/>
          <w:sz w:val="32"/>
          <w:szCs w:val="32"/>
        </w:rPr>
        <w:t>万元，占项目预算总金额比例（不含基建）的31.09%，我单位已按照绩效的要求完成该项目，并达到了预期的指标效果。</w:t>
      </w:r>
    </w:p>
    <w:p>
      <w:pPr>
        <w:spacing w:line="560" w:lineRule="exact"/>
        <w:ind w:firstLine="643" w:firstLineChars="200"/>
        <w:rPr>
          <w:rFonts w:ascii="仿宋_GB2312" w:eastAsia="仿宋_GB2312"/>
          <w:b/>
          <w:sz w:val="32"/>
          <w:szCs w:val="32"/>
        </w:rPr>
      </w:pPr>
      <w:r>
        <w:rPr>
          <w:rFonts w:hint="eastAsia" w:ascii="仿宋_GB2312" w:eastAsia="仿宋_GB2312"/>
          <w:b/>
          <w:sz w:val="32"/>
          <w:szCs w:val="32"/>
        </w:rPr>
        <w:t>八、专业名词解释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及单位按规定保留的公务用车燃料费、维修费、过桥过路费、保险费、安全奖励费用等支出；公务接待费指单位按规定开支的各类公务接待（含外宾接待）费用。</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2.项目支出：指在基本支出之外为完成特定行政任务或事业发展目标所发生的支出。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3.政府采购：各级国家机关、事业单位和团体组织，使用财政性资金采购依法制定的集中采购目录以内的或者采购限额标准以上的货物、工程和服务的行为，是规范财政支出管理和强化预算约束的有效措施。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rPr>
          <w:rFonts w:ascii="仿宋_GB2312" w:eastAsia="仿宋_GB2312"/>
          <w:sz w:val="32"/>
          <w:szCs w:val="32"/>
        </w:rPr>
      </w:pPr>
    </w:p>
    <w:p>
      <w:pPr>
        <w:spacing w:line="560" w:lineRule="exact"/>
        <w:rPr>
          <w:rFonts w:ascii="仿宋_GB2312"/>
        </w:rPr>
      </w:pPr>
    </w:p>
    <w:p>
      <w:pPr>
        <w:spacing w:line="560" w:lineRule="exact"/>
        <w:rPr>
          <w:rFonts w:ascii="仿宋_GB2312" w:eastAsia="仿宋_GB2312"/>
          <w:b/>
          <w:sz w:val="32"/>
          <w:szCs w:val="32"/>
        </w:rPr>
      </w:pPr>
    </w:p>
    <w:p>
      <w:pPr>
        <w:spacing w:line="560" w:lineRule="exact"/>
        <w:jc w:val="center"/>
        <w:rPr>
          <w:rFonts w:ascii="仿宋_GB2312" w:eastAsia="仿宋_GB2312"/>
          <w:b/>
          <w:sz w:val="32"/>
          <w:szCs w:val="32"/>
        </w:rPr>
      </w:pPr>
    </w:p>
    <w:p>
      <w:pPr>
        <w:spacing w:line="560" w:lineRule="exact"/>
        <w:jc w:val="center"/>
        <w:rPr>
          <w:rFonts w:ascii="仿宋_GB2312" w:eastAsia="仿宋_GB2312"/>
          <w:b/>
          <w:sz w:val="32"/>
          <w:szCs w:val="32"/>
        </w:rPr>
      </w:pPr>
    </w:p>
    <w:p>
      <w:pPr>
        <w:spacing w:line="560" w:lineRule="exact"/>
        <w:jc w:val="center"/>
        <w:rPr>
          <w:rFonts w:ascii="仿宋_GB2312" w:eastAsia="仿宋_GB2312"/>
          <w:b/>
          <w:sz w:val="32"/>
          <w:szCs w:val="32"/>
        </w:rPr>
      </w:pPr>
    </w:p>
    <w:p>
      <w:pPr>
        <w:spacing w:line="560" w:lineRule="exact"/>
        <w:jc w:val="center"/>
        <w:rPr>
          <w:rFonts w:ascii="仿宋_GB2312" w:eastAsia="仿宋_GB2312"/>
          <w:b/>
          <w:sz w:val="32"/>
          <w:szCs w:val="32"/>
        </w:rPr>
      </w:pPr>
    </w:p>
    <w:p>
      <w:pPr>
        <w:spacing w:line="560" w:lineRule="exact"/>
        <w:rPr>
          <w:rFonts w:ascii="仿宋_GB2312" w:eastAsia="仿宋_GB2312"/>
          <w:b/>
          <w:sz w:val="32"/>
          <w:szCs w:val="32"/>
        </w:rPr>
      </w:pPr>
    </w:p>
    <w:p>
      <w:pPr>
        <w:spacing w:line="560" w:lineRule="exact"/>
        <w:rPr>
          <w:rFonts w:ascii="仿宋_GB2312" w:eastAsia="仿宋_GB2312"/>
          <w:b/>
          <w:sz w:val="32"/>
          <w:szCs w:val="32"/>
        </w:rPr>
      </w:pPr>
    </w:p>
    <w:p>
      <w:pPr>
        <w:spacing w:line="560" w:lineRule="exact"/>
        <w:rPr>
          <w:rFonts w:ascii="仿宋_GB2312" w:eastAsia="仿宋_GB2312"/>
          <w:b/>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418" w:right="1418" w:bottom="1418" w:left="1418" w:header="851" w:footer="992" w:gutter="0"/>
          <w:cols w:space="720" w:num="1"/>
          <w:docGrid w:linePitch="312" w:charSpace="0"/>
        </w:sectPr>
      </w:pPr>
    </w:p>
    <w:p>
      <w:pPr>
        <w:spacing w:line="560" w:lineRule="exact"/>
        <w:jc w:val="center"/>
        <w:rPr>
          <w:rFonts w:ascii="黑体" w:hAnsi="黑体" w:eastAsia="黑体"/>
          <w:sz w:val="36"/>
          <w:szCs w:val="36"/>
        </w:rPr>
      </w:pPr>
      <w:r>
        <w:rPr>
          <w:rFonts w:hint="eastAsia" w:ascii="黑体" w:hAnsi="黑体" w:eastAsia="黑体"/>
          <w:sz w:val="36"/>
          <w:szCs w:val="36"/>
        </w:rPr>
        <w:t>第二部分  2021年部门决算报表</w:t>
      </w:r>
    </w:p>
    <w:p>
      <w:pPr>
        <w:spacing w:line="560" w:lineRule="exact"/>
        <w:rPr>
          <w:sz w:val="30"/>
          <w:szCs w:val="30"/>
        </w:rPr>
      </w:pPr>
    </w:p>
    <w:p>
      <w:pPr>
        <w:spacing w:line="560" w:lineRule="exact"/>
        <w:rPr>
          <w:sz w:val="30"/>
          <w:szCs w:val="30"/>
        </w:rPr>
      </w:pPr>
      <w:r>
        <w:rPr>
          <w:rFonts w:hint="eastAsia"/>
          <w:sz w:val="30"/>
          <w:szCs w:val="30"/>
        </w:rPr>
        <w:t>表1：</w:t>
      </w:r>
    </w:p>
    <w:p>
      <w:pPr>
        <w:spacing w:line="560" w:lineRule="exact"/>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2021年收入支出决算总表</w:t>
      </w:r>
    </w:p>
    <w:p>
      <w:pPr>
        <w:spacing w:line="560" w:lineRule="exact"/>
        <w:jc w:val="center"/>
        <w:rPr>
          <w:rFonts w:ascii="黑体" w:hAnsi="黑体" w:eastAsia="黑体"/>
          <w:sz w:val="36"/>
          <w:szCs w:val="36"/>
        </w:rPr>
      </w:pPr>
    </w:p>
    <w:tbl>
      <w:tblPr>
        <w:tblStyle w:val="5"/>
        <w:tblW w:w="14218" w:type="dxa"/>
        <w:tblInd w:w="0" w:type="dxa"/>
        <w:tblLayout w:type="fixed"/>
        <w:tblCellMar>
          <w:top w:w="0" w:type="dxa"/>
          <w:left w:w="108" w:type="dxa"/>
          <w:bottom w:w="0" w:type="dxa"/>
          <w:right w:w="108" w:type="dxa"/>
        </w:tblCellMar>
      </w:tblPr>
      <w:tblGrid>
        <w:gridCol w:w="3416"/>
        <w:gridCol w:w="1898"/>
        <w:gridCol w:w="1895"/>
        <w:gridCol w:w="3216"/>
        <w:gridCol w:w="1895"/>
        <w:gridCol w:w="1898"/>
      </w:tblGrid>
      <w:tr>
        <w:tblPrEx>
          <w:tblLayout w:type="fixed"/>
          <w:tblCellMar>
            <w:top w:w="0" w:type="dxa"/>
            <w:left w:w="108" w:type="dxa"/>
            <w:bottom w:w="0" w:type="dxa"/>
            <w:right w:w="108" w:type="dxa"/>
          </w:tblCellMar>
        </w:tblPrEx>
        <w:trPr>
          <w:trHeight w:val="300" w:hRule="atLeast"/>
        </w:trPr>
        <w:tc>
          <w:tcPr>
            <w:tcW w:w="5314" w:type="dxa"/>
            <w:gridSpan w:val="2"/>
            <w:tcBorders>
              <w:top w:val="nil"/>
              <w:left w:val="nil"/>
              <w:bottom w:val="single" w:color="auto" w:sz="4" w:space="0"/>
              <w:right w:val="nil"/>
            </w:tcBorders>
            <w:shd w:val="clear" w:color="auto" w:fill="auto"/>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单位名称：北京市西城区文物管理处</w:t>
            </w:r>
          </w:p>
        </w:tc>
        <w:tc>
          <w:tcPr>
            <w:tcW w:w="1895" w:type="dxa"/>
            <w:tcBorders>
              <w:top w:val="nil"/>
              <w:left w:val="nil"/>
              <w:bottom w:val="single" w:color="auto" w:sz="4" w:space="0"/>
              <w:right w:val="nil"/>
            </w:tcBorders>
            <w:shd w:val="clear" w:color="auto" w:fill="auto"/>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　</w:t>
            </w:r>
          </w:p>
        </w:tc>
        <w:tc>
          <w:tcPr>
            <w:tcW w:w="3216"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895"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898" w:type="dxa"/>
            <w:tcBorders>
              <w:top w:val="nil"/>
              <w:left w:val="nil"/>
              <w:bottom w:val="single" w:color="auto" w:sz="4" w:space="0"/>
            </w:tcBorders>
            <w:shd w:val="clear" w:color="auto" w:fill="auto"/>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7209" w:type="dxa"/>
            <w:gridSpan w:val="3"/>
            <w:tcBorders>
              <w:top w:val="single" w:color="auto" w:sz="4" w:space="0"/>
              <w:left w:val="single" w:color="auto" w:sz="4" w:space="0"/>
              <w:bottom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收入</w:t>
            </w:r>
          </w:p>
        </w:tc>
        <w:tc>
          <w:tcPr>
            <w:tcW w:w="7009" w:type="dxa"/>
            <w:gridSpan w:val="3"/>
            <w:tcBorders>
              <w:top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支出</w:t>
            </w:r>
          </w:p>
        </w:tc>
      </w:tr>
      <w:tr>
        <w:tblPrEx>
          <w:tblLayout w:type="fixed"/>
          <w:tblCellMar>
            <w:top w:w="0" w:type="dxa"/>
            <w:left w:w="108" w:type="dxa"/>
            <w:bottom w:w="0" w:type="dxa"/>
            <w:right w:w="108" w:type="dxa"/>
          </w:tblCellMar>
        </w:tblPrEx>
        <w:trPr>
          <w:trHeight w:val="300" w:hRule="atLeast"/>
        </w:trPr>
        <w:tc>
          <w:tcPr>
            <w:tcW w:w="3416" w:type="dxa"/>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项目</w:t>
            </w:r>
          </w:p>
        </w:tc>
        <w:tc>
          <w:tcPr>
            <w:tcW w:w="1898" w:type="dxa"/>
            <w:tcBorders>
              <w:top w:val="single" w:color="auto"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年初预算数</w:t>
            </w:r>
          </w:p>
        </w:tc>
        <w:tc>
          <w:tcPr>
            <w:tcW w:w="1895" w:type="dxa"/>
            <w:tcBorders>
              <w:top w:val="single" w:color="auto" w:sz="4" w:space="0"/>
              <w:left w:val="nil"/>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决算数</w:t>
            </w:r>
          </w:p>
        </w:tc>
        <w:tc>
          <w:tcPr>
            <w:tcW w:w="3216" w:type="dxa"/>
            <w:tcBorders>
              <w:top w:val="single" w:color="auto" w:sz="4" w:space="0"/>
              <w:left w:val="nil"/>
              <w:bottom w:val="single" w:color="000000"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项目(按功能分类)</w:t>
            </w:r>
          </w:p>
        </w:tc>
        <w:tc>
          <w:tcPr>
            <w:tcW w:w="1895" w:type="dxa"/>
            <w:tcBorders>
              <w:top w:val="single" w:color="auto" w:sz="4" w:space="0"/>
              <w:left w:val="single" w:color="auto" w:sz="4" w:space="0"/>
              <w:bottom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年初预算数</w:t>
            </w:r>
          </w:p>
        </w:tc>
        <w:tc>
          <w:tcPr>
            <w:tcW w:w="1898" w:type="dxa"/>
            <w:tcBorders>
              <w:top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决算数</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一、一般公共预算财政拨款收入</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9,415.627021</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一、一般公共服务支出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二、政府性基金预算财政拨款收入</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二、外交支出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三、国有资本经营预算财政拨款收入</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三、国防支出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四、上级补助收入</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四、公共安全支出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五、事业收入</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五、教育支出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0.433500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六、经营收入</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六、科学技术支出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七、附属单位上缴收入</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七、文化旅游体育与传媒支出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3,824.994372</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10,839.889351</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八、其他收入</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八、社会保障和就业支出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19.292544</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15.871968</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九、卫生健康支出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10.450128</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十、节能环保支出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十一、城乡社区支出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十二、农林水支出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十三、交通运输支出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十四、资源勘探信息等支出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十五、商业服务业等支出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十六、金融支出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十七、援助其他地区支出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十八、自然资源海洋气象等支出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十九、住房保障支出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23.056272</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20.897400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二十、粮油物资储备支出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二十一、国有资本经营预算支出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二十二、灾害防治及应急管理支出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二十三、其他支出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二十四、债务还本支出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二十五、债务付息支出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二十六、抗疫特别国债安排的支出</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本年收入合计</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9,415.627021</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本年支出合计</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10,887.684475</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使用非财政拨款结余</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结余分配</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年初结转和结余</w:t>
            </w:r>
          </w:p>
        </w:tc>
        <w:tc>
          <w:tcPr>
            <w:tcW w:w="189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1,526.291080</w:t>
            </w:r>
          </w:p>
        </w:tc>
        <w:tc>
          <w:tcPr>
            <w:tcW w:w="32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年末结转和结余</w:t>
            </w:r>
          </w:p>
        </w:tc>
        <w:tc>
          <w:tcPr>
            <w:tcW w:w="1895"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98"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54.233626</w:t>
            </w:r>
          </w:p>
        </w:tc>
      </w:tr>
      <w:tr>
        <w:tblPrEx>
          <w:tblLayout w:type="fixed"/>
          <w:tblCellMar>
            <w:top w:w="0" w:type="dxa"/>
            <w:left w:w="108" w:type="dxa"/>
            <w:bottom w:w="0" w:type="dxa"/>
            <w:right w:w="108" w:type="dxa"/>
          </w:tblCellMar>
        </w:tblPrEx>
        <w:trPr>
          <w:trHeight w:val="300" w:hRule="atLeast"/>
        </w:trPr>
        <w:tc>
          <w:tcPr>
            <w:tcW w:w="3416" w:type="dxa"/>
            <w:tcBorders>
              <w:top w:val="nil"/>
              <w:left w:val="single" w:color="auto" w:sz="4" w:space="0"/>
              <w:bottom w:val="single" w:color="auto"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总计</w:t>
            </w:r>
          </w:p>
        </w:tc>
        <w:tc>
          <w:tcPr>
            <w:tcW w:w="1898"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895"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10,941.918101</w:t>
            </w:r>
          </w:p>
        </w:tc>
        <w:tc>
          <w:tcPr>
            <w:tcW w:w="3216" w:type="dxa"/>
            <w:tcBorders>
              <w:top w:val="nil"/>
              <w:left w:val="nil"/>
              <w:bottom w:val="single" w:color="auto"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总计</w:t>
            </w:r>
          </w:p>
        </w:tc>
        <w:tc>
          <w:tcPr>
            <w:tcW w:w="1895"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898"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10,941.918101</w:t>
            </w:r>
          </w:p>
        </w:tc>
      </w:tr>
    </w:tbl>
    <w:p>
      <w:pPr>
        <w:spacing w:line="560" w:lineRule="exact"/>
        <w:rPr>
          <w:sz w:val="30"/>
          <w:szCs w:val="30"/>
        </w:rPr>
        <w:sectPr>
          <w:pgSz w:w="16838" w:h="11906" w:orient="landscape"/>
          <w:pgMar w:top="1418" w:right="1418" w:bottom="1418" w:left="1418" w:header="851" w:footer="992" w:gutter="0"/>
          <w:cols w:space="720" w:num="1"/>
          <w:docGrid w:linePitch="312" w:charSpace="0"/>
        </w:sectPr>
      </w:pPr>
    </w:p>
    <w:p>
      <w:pPr>
        <w:spacing w:line="560" w:lineRule="exact"/>
        <w:rPr>
          <w:sz w:val="30"/>
          <w:szCs w:val="30"/>
        </w:rPr>
      </w:pPr>
      <w:r>
        <w:rPr>
          <w:rFonts w:hint="eastAsia"/>
          <w:sz w:val="30"/>
          <w:szCs w:val="30"/>
        </w:rPr>
        <w:t>表2：</w:t>
      </w:r>
    </w:p>
    <w:p>
      <w:pPr>
        <w:spacing w:line="560" w:lineRule="exact"/>
        <w:jc w:val="center"/>
        <w:rPr>
          <w:rFonts w:ascii="黑体" w:hAnsi="黑体" w:eastAsia="黑体" w:cs="宋体"/>
          <w:color w:val="000000"/>
          <w:kern w:val="0"/>
          <w:sz w:val="36"/>
          <w:szCs w:val="36"/>
        </w:rPr>
      </w:pPr>
      <w:r>
        <w:rPr>
          <w:rFonts w:hint="eastAsia" w:ascii="黑体" w:hAnsi="黑体" w:eastAsia="黑体" w:cs="宋体"/>
          <w:color w:val="000000"/>
          <w:kern w:val="0"/>
          <w:sz w:val="36"/>
          <w:szCs w:val="36"/>
        </w:rPr>
        <w:t>2021年收入决算表</w:t>
      </w:r>
    </w:p>
    <w:p>
      <w:pPr>
        <w:spacing w:line="560" w:lineRule="exact"/>
        <w:rPr>
          <w:rFonts w:asciiTheme="minorEastAsia" w:hAnsiTheme="minorEastAsia" w:eastAsiaTheme="minorEastAsia"/>
          <w:sz w:val="20"/>
          <w:szCs w:val="20"/>
        </w:rPr>
      </w:pPr>
    </w:p>
    <w:tbl>
      <w:tblPr>
        <w:tblStyle w:val="5"/>
        <w:tblW w:w="14218" w:type="dxa"/>
        <w:tblInd w:w="0" w:type="dxa"/>
        <w:tblLayout w:type="fixed"/>
        <w:tblCellMar>
          <w:top w:w="0" w:type="dxa"/>
          <w:left w:w="108" w:type="dxa"/>
          <w:bottom w:w="0" w:type="dxa"/>
          <w:right w:w="108" w:type="dxa"/>
        </w:tblCellMar>
      </w:tblPr>
      <w:tblGrid>
        <w:gridCol w:w="416"/>
        <w:gridCol w:w="416"/>
        <w:gridCol w:w="416"/>
        <w:gridCol w:w="3616"/>
        <w:gridCol w:w="1426"/>
        <w:gridCol w:w="1426"/>
        <w:gridCol w:w="1136"/>
        <w:gridCol w:w="1316"/>
        <w:gridCol w:w="1316"/>
        <w:gridCol w:w="1318"/>
        <w:gridCol w:w="1416"/>
      </w:tblGrid>
      <w:tr>
        <w:tblPrEx>
          <w:tblLayout w:type="fixed"/>
          <w:tblCellMar>
            <w:top w:w="0" w:type="dxa"/>
            <w:left w:w="108" w:type="dxa"/>
            <w:bottom w:w="0" w:type="dxa"/>
            <w:right w:w="108" w:type="dxa"/>
          </w:tblCellMar>
        </w:tblPrEx>
        <w:trPr>
          <w:trHeight w:val="300" w:hRule="atLeast"/>
        </w:trPr>
        <w:tc>
          <w:tcPr>
            <w:tcW w:w="4864" w:type="dxa"/>
            <w:gridSpan w:val="4"/>
            <w:tcBorders>
              <w:top w:val="nil"/>
              <w:left w:val="nil"/>
              <w:bottom w:val="single" w:color="auto" w:sz="4" w:space="0"/>
              <w:right w:val="nil"/>
            </w:tcBorders>
            <w:shd w:val="clear" w:color="auto" w:fill="auto"/>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单位名称：北京市西城区文物管理处</w:t>
            </w:r>
          </w:p>
        </w:tc>
        <w:tc>
          <w:tcPr>
            <w:tcW w:w="1426"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26" w:type="dxa"/>
            <w:tcBorders>
              <w:top w:val="nil"/>
              <w:left w:val="nil"/>
              <w:bottom w:val="single" w:color="auto" w:sz="4" w:space="0"/>
              <w:right w:val="nil"/>
            </w:tcBorders>
            <w:shd w:val="clear" w:color="auto" w:fill="auto"/>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　</w:t>
            </w:r>
          </w:p>
        </w:tc>
        <w:tc>
          <w:tcPr>
            <w:tcW w:w="1136"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316"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316"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318"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416" w:type="dxa"/>
            <w:tcBorders>
              <w:top w:val="nil"/>
              <w:left w:val="nil"/>
              <w:bottom w:val="single" w:color="auto" w:sz="4" w:space="0"/>
            </w:tcBorders>
            <w:shd w:val="clear" w:color="auto" w:fill="auto"/>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4864" w:type="dxa"/>
            <w:gridSpan w:val="4"/>
            <w:tcBorders>
              <w:top w:val="single" w:color="auto" w:sz="4" w:space="0"/>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项目</w:t>
            </w:r>
          </w:p>
        </w:tc>
        <w:tc>
          <w:tcPr>
            <w:tcW w:w="1426" w:type="dxa"/>
            <w:vMerge w:val="restart"/>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本年收入合计</w:t>
            </w:r>
          </w:p>
        </w:tc>
        <w:tc>
          <w:tcPr>
            <w:tcW w:w="1426" w:type="dxa"/>
            <w:vMerge w:val="restart"/>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财政拨款收入</w:t>
            </w:r>
          </w:p>
        </w:tc>
        <w:tc>
          <w:tcPr>
            <w:tcW w:w="1136" w:type="dxa"/>
            <w:vMerge w:val="restart"/>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上级补助收入</w:t>
            </w:r>
          </w:p>
        </w:tc>
        <w:tc>
          <w:tcPr>
            <w:tcW w:w="1316" w:type="dxa"/>
            <w:vMerge w:val="restart"/>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事业收入</w:t>
            </w:r>
          </w:p>
        </w:tc>
        <w:tc>
          <w:tcPr>
            <w:tcW w:w="1316" w:type="dxa"/>
            <w:vMerge w:val="restart"/>
            <w:tcBorders>
              <w:top w:val="single" w:color="auto" w:sz="4" w:space="0"/>
              <w:left w:val="nil"/>
              <w:bottom w:val="single" w:color="000000"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经营收入</w:t>
            </w:r>
          </w:p>
        </w:tc>
        <w:tc>
          <w:tcPr>
            <w:tcW w:w="131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附属单位上缴收入</w:t>
            </w:r>
          </w:p>
        </w:tc>
        <w:tc>
          <w:tcPr>
            <w:tcW w:w="14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其他收入</w:t>
            </w:r>
          </w:p>
        </w:tc>
      </w:tr>
      <w:tr>
        <w:tblPrEx>
          <w:tblLayout w:type="fixed"/>
          <w:tblCellMar>
            <w:top w:w="0" w:type="dxa"/>
            <w:left w:w="108" w:type="dxa"/>
            <w:bottom w:w="0" w:type="dxa"/>
            <w:right w:w="108" w:type="dxa"/>
          </w:tblCellMar>
        </w:tblPrEx>
        <w:trPr>
          <w:trHeight w:val="300" w:hRule="atLeast"/>
        </w:trPr>
        <w:tc>
          <w:tcPr>
            <w:tcW w:w="1248" w:type="dxa"/>
            <w:gridSpan w:val="3"/>
            <w:vMerge w:val="restart"/>
            <w:tcBorders>
              <w:top w:val="nil"/>
              <w:left w:val="single" w:color="auto" w:sz="4" w:space="0"/>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支出功能分类科目编码</w:t>
            </w:r>
          </w:p>
        </w:tc>
        <w:tc>
          <w:tcPr>
            <w:tcW w:w="3616"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科目名称</w:t>
            </w:r>
          </w:p>
        </w:tc>
        <w:tc>
          <w:tcPr>
            <w:tcW w:w="142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42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13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31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316" w:type="dxa"/>
            <w:vMerge w:val="continue"/>
            <w:tcBorders>
              <w:top w:val="nil"/>
              <w:left w:val="nil"/>
              <w:bottom w:val="single" w:color="000000" w:sz="4" w:space="0"/>
              <w:right w:val="single" w:color="auto" w:sz="4" w:space="0"/>
            </w:tcBorders>
            <w:vAlign w:val="center"/>
          </w:tcPr>
          <w:p>
            <w:pPr>
              <w:widowControl/>
              <w:jc w:val="left"/>
              <w:rPr>
                <w:rFonts w:ascii="宋体" w:hAnsi="宋体" w:cs="Arial"/>
                <w:kern w:val="0"/>
                <w:sz w:val="20"/>
                <w:szCs w:val="20"/>
              </w:rPr>
            </w:pPr>
          </w:p>
        </w:tc>
        <w:tc>
          <w:tcPr>
            <w:tcW w:w="13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1248" w:type="dxa"/>
            <w:gridSpan w:val="3"/>
            <w:vMerge w:val="continue"/>
            <w:tcBorders>
              <w:top w:val="nil"/>
              <w:left w:val="single" w:color="auto"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361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42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42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13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31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316" w:type="dxa"/>
            <w:vMerge w:val="continue"/>
            <w:tcBorders>
              <w:top w:val="nil"/>
              <w:left w:val="nil"/>
              <w:bottom w:val="single" w:color="000000" w:sz="4" w:space="0"/>
              <w:right w:val="single" w:color="auto" w:sz="4" w:space="0"/>
            </w:tcBorders>
            <w:vAlign w:val="center"/>
          </w:tcPr>
          <w:p>
            <w:pPr>
              <w:widowControl/>
              <w:jc w:val="left"/>
              <w:rPr>
                <w:rFonts w:ascii="宋体" w:hAnsi="宋体" w:cs="Arial"/>
                <w:kern w:val="0"/>
                <w:sz w:val="20"/>
                <w:szCs w:val="20"/>
              </w:rPr>
            </w:pPr>
          </w:p>
        </w:tc>
        <w:tc>
          <w:tcPr>
            <w:tcW w:w="13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1248" w:type="dxa"/>
            <w:gridSpan w:val="3"/>
            <w:vMerge w:val="continue"/>
            <w:tcBorders>
              <w:top w:val="nil"/>
              <w:left w:val="single" w:color="auto"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361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42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42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13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31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1316" w:type="dxa"/>
            <w:vMerge w:val="continue"/>
            <w:tcBorders>
              <w:top w:val="nil"/>
              <w:left w:val="nil"/>
              <w:bottom w:val="single" w:color="000000" w:sz="4" w:space="0"/>
              <w:right w:val="single" w:color="auto" w:sz="4" w:space="0"/>
            </w:tcBorders>
            <w:vAlign w:val="center"/>
          </w:tcPr>
          <w:p>
            <w:pPr>
              <w:widowControl/>
              <w:jc w:val="left"/>
              <w:rPr>
                <w:rFonts w:ascii="宋体" w:hAnsi="宋体" w:cs="Arial"/>
                <w:kern w:val="0"/>
                <w:sz w:val="20"/>
                <w:szCs w:val="20"/>
              </w:rPr>
            </w:pPr>
          </w:p>
        </w:tc>
        <w:tc>
          <w:tcPr>
            <w:tcW w:w="131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416" w:type="dxa"/>
            <w:vMerge w:val="restart"/>
            <w:tcBorders>
              <w:top w:val="nil"/>
              <w:left w:val="single" w:color="auto" w:sz="4" w:space="0"/>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类</w:t>
            </w:r>
          </w:p>
        </w:tc>
        <w:tc>
          <w:tcPr>
            <w:tcW w:w="416"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款</w:t>
            </w:r>
          </w:p>
        </w:tc>
        <w:tc>
          <w:tcPr>
            <w:tcW w:w="416" w:type="dxa"/>
            <w:vMerge w:val="restart"/>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项</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栏次</w:t>
            </w:r>
          </w:p>
        </w:tc>
        <w:tc>
          <w:tcPr>
            <w:tcW w:w="14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1</w:t>
            </w:r>
          </w:p>
        </w:tc>
        <w:tc>
          <w:tcPr>
            <w:tcW w:w="142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2</w:t>
            </w:r>
          </w:p>
        </w:tc>
        <w:tc>
          <w:tcPr>
            <w:tcW w:w="113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3</w:t>
            </w:r>
          </w:p>
        </w:tc>
        <w:tc>
          <w:tcPr>
            <w:tcW w:w="13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4</w:t>
            </w:r>
          </w:p>
        </w:tc>
        <w:tc>
          <w:tcPr>
            <w:tcW w:w="1316" w:type="dxa"/>
            <w:tcBorders>
              <w:top w:val="nil"/>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5</w:t>
            </w:r>
          </w:p>
        </w:tc>
        <w:tc>
          <w:tcPr>
            <w:tcW w:w="1318" w:type="dxa"/>
            <w:tcBorders>
              <w:top w:val="single" w:color="auto" w:sz="4" w:space="0"/>
              <w:left w:val="nil"/>
              <w:bottom w:val="single" w:color="000000" w:sz="4" w:space="0"/>
              <w:right w:val="single" w:color="000000"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6</w:t>
            </w:r>
          </w:p>
        </w:tc>
        <w:tc>
          <w:tcPr>
            <w:tcW w:w="1416" w:type="dxa"/>
            <w:tcBorders>
              <w:top w:val="single" w:color="auto" w:sz="4" w:space="0"/>
              <w:left w:val="nil"/>
              <w:bottom w:val="single" w:color="000000"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7</w:t>
            </w:r>
          </w:p>
        </w:tc>
      </w:tr>
      <w:tr>
        <w:tblPrEx>
          <w:tblLayout w:type="fixed"/>
          <w:tblCellMar>
            <w:top w:w="0" w:type="dxa"/>
            <w:left w:w="108" w:type="dxa"/>
            <w:bottom w:w="0" w:type="dxa"/>
            <w:right w:w="108" w:type="dxa"/>
          </w:tblCellMar>
        </w:tblPrEx>
        <w:trPr>
          <w:trHeight w:val="300" w:hRule="atLeast"/>
        </w:trPr>
        <w:tc>
          <w:tcPr>
            <w:tcW w:w="416" w:type="dxa"/>
            <w:vMerge w:val="continue"/>
            <w:tcBorders>
              <w:top w:val="nil"/>
              <w:left w:val="single" w:color="auto" w:sz="4" w:space="0"/>
              <w:bottom w:val="single" w:color="000000" w:sz="4" w:space="0"/>
              <w:right w:val="single" w:color="000000" w:sz="4" w:space="0"/>
            </w:tcBorders>
            <w:vAlign w:val="center"/>
          </w:tcPr>
          <w:p>
            <w:pPr>
              <w:widowControl/>
              <w:jc w:val="left"/>
              <w:rPr>
                <w:rFonts w:ascii="宋体" w:hAnsi="宋体" w:cs="Arial"/>
                <w:kern w:val="0"/>
                <w:sz w:val="20"/>
                <w:szCs w:val="20"/>
              </w:rPr>
            </w:pPr>
          </w:p>
        </w:tc>
        <w:tc>
          <w:tcPr>
            <w:tcW w:w="41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416" w:type="dxa"/>
            <w:vMerge w:val="continue"/>
            <w:tcBorders>
              <w:top w:val="nil"/>
              <w:left w:val="nil"/>
              <w:bottom w:val="single" w:color="000000" w:sz="4" w:space="0"/>
              <w:right w:val="single" w:color="000000" w:sz="4" w:space="0"/>
            </w:tcBorders>
            <w:vAlign w:val="center"/>
          </w:tcPr>
          <w:p>
            <w:pPr>
              <w:widowControl/>
              <w:jc w:val="left"/>
              <w:rPr>
                <w:rFonts w:ascii="宋体" w:hAnsi="宋体" w:cs="Arial"/>
                <w:kern w:val="0"/>
                <w:sz w:val="20"/>
                <w:szCs w:val="20"/>
              </w:rPr>
            </w:pPr>
          </w:p>
        </w:tc>
        <w:tc>
          <w:tcPr>
            <w:tcW w:w="3616" w:type="dxa"/>
            <w:tcBorders>
              <w:top w:val="nil"/>
              <w:left w:val="nil"/>
              <w:bottom w:val="single" w:color="000000" w:sz="4" w:space="0"/>
              <w:right w:val="single" w:color="000000"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合计</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9,415.627021</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9,415.627021</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文化旅游体育与传媒支出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9,367.831897</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9,367.831897</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20701</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文化和旅游</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45.000000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45.000000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2070199</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其他文化和旅游支出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45.000000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45.000000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2070199</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其他文化和旅游支出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45.000000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45.000000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文物</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9,322.831897</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9,322.831897</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2070205</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博物馆</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139.742167</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139.742167</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2070205</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博物馆</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139.742167</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139.742167</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2070206</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历史名城与古迹</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9,183.089730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9,183.089730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2070206</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历史名城与古迹</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9,183.089730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9,183.089730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社会保障和就业支出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行政事业单位养老支出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2080505</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机关事业单位基本养老保险缴费支出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10.581312</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10.581312</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2080505</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机关事业单位基本养老保险缴费支出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10.581312</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10.581312</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2080506</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机关事业单位职业年金缴费支出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5.290656</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5.290656</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2080506</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机关事业单位职业年金缴费支出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5.290656</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5.290656</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卫生健康支出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行政事业单位医疗</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2101102</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事业单位医疗</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2101102</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事业单位医疗</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住房保障支出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住房改革支出</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2210201</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住房公积金</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11.308200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11.308200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2210201</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住房公积金</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11.308200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11.308200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2210202</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提租补贴</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0.456000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0.456000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2210202</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提租补贴</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0.456000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0.456000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2210203</w:t>
            </w:r>
          </w:p>
        </w:tc>
        <w:tc>
          <w:tcPr>
            <w:tcW w:w="3616" w:type="dxa"/>
            <w:tcBorders>
              <w:top w:val="nil"/>
              <w:left w:val="nil"/>
              <w:bottom w:val="single" w:color="000000" w:sz="4" w:space="0"/>
              <w:right w:val="single" w:color="000000"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购房补贴</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9.133200</w:t>
            </w:r>
          </w:p>
        </w:tc>
        <w:tc>
          <w:tcPr>
            <w:tcW w:w="142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9.133200</w:t>
            </w:r>
          </w:p>
        </w:tc>
        <w:tc>
          <w:tcPr>
            <w:tcW w:w="113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6"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318" w:type="dxa"/>
            <w:tcBorders>
              <w:top w:val="nil"/>
              <w:left w:val="nil"/>
              <w:bottom w:val="single" w:color="000000" w:sz="4" w:space="0"/>
              <w:right w:val="single" w:color="000000"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416" w:type="dxa"/>
            <w:tcBorders>
              <w:top w:val="nil"/>
              <w:left w:val="nil"/>
              <w:bottom w:val="single" w:color="000000"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nil"/>
              <w:left w:val="single" w:color="auto" w:sz="4" w:space="0"/>
              <w:bottom w:val="single" w:color="auto"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2210203</w:t>
            </w:r>
          </w:p>
        </w:tc>
        <w:tc>
          <w:tcPr>
            <w:tcW w:w="3616" w:type="dxa"/>
            <w:tcBorders>
              <w:top w:val="nil"/>
              <w:left w:val="nil"/>
              <w:bottom w:val="single" w:color="auto" w:sz="4" w:space="0"/>
              <w:right w:val="single" w:color="000000"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购房补贴</w:t>
            </w:r>
          </w:p>
        </w:tc>
        <w:tc>
          <w:tcPr>
            <w:tcW w:w="1426"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9.133200</w:t>
            </w:r>
          </w:p>
        </w:tc>
        <w:tc>
          <w:tcPr>
            <w:tcW w:w="1426"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9.133200</w:t>
            </w:r>
          </w:p>
        </w:tc>
        <w:tc>
          <w:tcPr>
            <w:tcW w:w="1136"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6"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18" w:type="dxa"/>
            <w:tcBorders>
              <w:top w:val="nil"/>
              <w:left w:val="nil"/>
              <w:bottom w:val="single" w:color="auto" w:sz="4" w:space="0"/>
              <w:right w:val="single" w:color="000000"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416" w:type="dxa"/>
            <w:tcBorders>
              <w:top w:val="nil"/>
              <w:left w:val="nil"/>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bl>
    <w:p>
      <w:pPr>
        <w:spacing w:line="560" w:lineRule="exact"/>
        <w:rPr>
          <w:rFonts w:asciiTheme="minorEastAsia" w:hAnsiTheme="minorEastAsia" w:eastAsiaTheme="minorEastAsia"/>
          <w:sz w:val="20"/>
          <w:szCs w:val="20"/>
        </w:rPr>
      </w:pPr>
    </w:p>
    <w:p>
      <w:pPr>
        <w:spacing w:line="560" w:lineRule="exact"/>
        <w:rPr>
          <w:rFonts w:asciiTheme="minorEastAsia" w:hAnsiTheme="minorEastAsia" w:eastAsiaTheme="minorEastAsia"/>
          <w:sz w:val="20"/>
          <w:szCs w:val="20"/>
        </w:rPr>
      </w:pPr>
    </w:p>
    <w:p>
      <w:pPr>
        <w:spacing w:line="560" w:lineRule="exact"/>
        <w:sectPr>
          <w:pgSz w:w="16838" w:h="11906" w:orient="landscape"/>
          <w:pgMar w:top="1418" w:right="1418" w:bottom="1418" w:left="1418" w:header="851" w:footer="992" w:gutter="0"/>
          <w:cols w:space="720" w:num="1"/>
          <w:docGrid w:linePitch="312" w:charSpace="0"/>
        </w:sectPr>
      </w:pPr>
    </w:p>
    <w:p>
      <w:pPr>
        <w:spacing w:line="560" w:lineRule="exact"/>
        <w:rPr>
          <w:sz w:val="30"/>
          <w:szCs w:val="30"/>
        </w:rPr>
      </w:pPr>
      <w:r>
        <w:rPr>
          <w:rFonts w:hint="eastAsia"/>
          <w:sz w:val="30"/>
          <w:szCs w:val="30"/>
        </w:rPr>
        <w:t>表3：</w:t>
      </w:r>
    </w:p>
    <w:p>
      <w:pPr>
        <w:spacing w:line="560" w:lineRule="exact"/>
        <w:jc w:val="center"/>
        <w:rPr>
          <w:rFonts w:ascii="黑体" w:hAnsi="宋体" w:eastAsia="黑体" w:cs="黑体"/>
          <w:color w:val="000000"/>
          <w:kern w:val="0"/>
          <w:sz w:val="36"/>
          <w:szCs w:val="36"/>
        </w:rPr>
      </w:pPr>
      <w:r>
        <w:rPr>
          <w:rFonts w:hint="eastAsia" w:ascii="黑体" w:hAnsi="宋体" w:eastAsia="黑体" w:cs="黑体"/>
          <w:color w:val="000000"/>
          <w:kern w:val="0"/>
          <w:sz w:val="36"/>
          <w:szCs w:val="36"/>
        </w:rPr>
        <w:t>2021年支出决算表</w:t>
      </w:r>
    </w:p>
    <w:p>
      <w:pPr>
        <w:spacing w:line="560" w:lineRule="exact"/>
        <w:jc w:val="center"/>
        <w:rPr>
          <w:sz w:val="30"/>
          <w:szCs w:val="30"/>
        </w:rPr>
      </w:pPr>
    </w:p>
    <w:tbl>
      <w:tblPr>
        <w:tblStyle w:val="5"/>
        <w:tblW w:w="14218" w:type="dxa"/>
        <w:tblInd w:w="0" w:type="dxa"/>
        <w:tblLayout w:type="fixed"/>
        <w:tblCellMar>
          <w:top w:w="0" w:type="dxa"/>
          <w:left w:w="108" w:type="dxa"/>
          <w:bottom w:w="0" w:type="dxa"/>
          <w:right w:w="108" w:type="dxa"/>
        </w:tblCellMar>
      </w:tblPr>
      <w:tblGrid>
        <w:gridCol w:w="416"/>
        <w:gridCol w:w="416"/>
        <w:gridCol w:w="416"/>
        <w:gridCol w:w="3616"/>
        <w:gridCol w:w="1560"/>
        <w:gridCol w:w="1560"/>
        <w:gridCol w:w="1560"/>
        <w:gridCol w:w="1560"/>
        <w:gridCol w:w="1560"/>
        <w:gridCol w:w="1554"/>
      </w:tblGrid>
      <w:tr>
        <w:tblPrEx>
          <w:tblLayout w:type="fixed"/>
          <w:tblCellMar>
            <w:top w:w="0" w:type="dxa"/>
            <w:left w:w="108" w:type="dxa"/>
            <w:bottom w:w="0" w:type="dxa"/>
            <w:right w:w="108" w:type="dxa"/>
          </w:tblCellMar>
        </w:tblPrEx>
        <w:trPr>
          <w:trHeight w:val="300" w:hRule="atLeast"/>
        </w:trPr>
        <w:tc>
          <w:tcPr>
            <w:tcW w:w="4864" w:type="dxa"/>
            <w:gridSpan w:val="4"/>
            <w:tcBorders>
              <w:top w:val="nil"/>
              <w:left w:val="nil"/>
              <w:bottom w:val="single" w:color="auto" w:sz="4" w:space="0"/>
              <w:right w:val="nil"/>
            </w:tcBorders>
            <w:shd w:val="clear" w:color="auto" w:fill="auto"/>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单位名称：北京市西城区文物管理处</w:t>
            </w:r>
          </w:p>
        </w:tc>
        <w:tc>
          <w:tcPr>
            <w:tcW w:w="1560" w:type="dxa"/>
            <w:tcBorders>
              <w:top w:val="nil"/>
              <w:left w:val="nil"/>
              <w:bottom w:val="single" w:color="auto" w:sz="4" w:space="0"/>
              <w:right w:val="nil"/>
            </w:tcBorders>
            <w:shd w:val="clear" w:color="auto" w:fill="auto"/>
            <w:noWrap/>
            <w:vAlign w:val="center"/>
          </w:tcPr>
          <w:p>
            <w:pPr>
              <w:widowControl/>
              <w:jc w:val="center"/>
              <w:rPr>
                <w:rFonts w:ascii="宋体" w:hAnsi="宋体" w:cs="Arial"/>
                <w:color w:val="000000"/>
                <w:kern w:val="0"/>
                <w:sz w:val="24"/>
              </w:rPr>
            </w:pPr>
            <w:r>
              <w:rPr>
                <w:rFonts w:hint="eastAsia" w:ascii="宋体" w:hAnsi="宋体" w:cs="Arial"/>
                <w:color w:val="000000"/>
                <w:kern w:val="0"/>
                <w:sz w:val="24"/>
              </w:rPr>
              <w:t>　</w:t>
            </w:r>
          </w:p>
        </w:tc>
        <w:tc>
          <w:tcPr>
            <w:tcW w:w="1560"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560"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560"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560"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554" w:type="dxa"/>
            <w:tcBorders>
              <w:top w:val="nil"/>
              <w:left w:val="nil"/>
              <w:bottom w:val="single" w:color="auto" w:sz="4" w:space="0"/>
              <w:right w:val="single" w:color="808080" w:sz="4" w:space="0"/>
            </w:tcBorders>
            <w:shd w:val="clear" w:color="auto" w:fill="auto"/>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4864" w:type="dxa"/>
            <w:gridSpan w:val="4"/>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项目</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本年支出合计</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基本支出</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项目支出</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上缴上级支出</w:t>
            </w:r>
          </w:p>
        </w:tc>
        <w:tc>
          <w:tcPr>
            <w:tcW w:w="156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经营支出</w:t>
            </w:r>
          </w:p>
        </w:tc>
        <w:tc>
          <w:tcPr>
            <w:tcW w:w="155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对附属单位补助支出</w:t>
            </w:r>
          </w:p>
        </w:tc>
      </w:tr>
      <w:tr>
        <w:tblPrEx>
          <w:tblLayout w:type="fixed"/>
          <w:tblCellMar>
            <w:top w:w="0" w:type="dxa"/>
            <w:left w:w="108" w:type="dxa"/>
            <w:bottom w:w="0" w:type="dxa"/>
            <w:right w:w="108" w:type="dxa"/>
          </w:tblCellMar>
        </w:tblPrEx>
        <w:trPr>
          <w:trHeight w:val="300" w:hRule="atLeast"/>
        </w:trPr>
        <w:tc>
          <w:tcPr>
            <w:tcW w:w="1248"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支出功能分类科目编码</w:t>
            </w:r>
          </w:p>
        </w:tc>
        <w:tc>
          <w:tcPr>
            <w:tcW w:w="361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科目名称</w:t>
            </w: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124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3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124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3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6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55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41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类</w:t>
            </w:r>
          </w:p>
        </w:tc>
        <w:tc>
          <w:tcPr>
            <w:tcW w:w="41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款</w:t>
            </w:r>
          </w:p>
        </w:tc>
        <w:tc>
          <w:tcPr>
            <w:tcW w:w="41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项</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栏次</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1</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2</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3</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4</w:t>
            </w:r>
          </w:p>
        </w:tc>
        <w:tc>
          <w:tcPr>
            <w:tcW w:w="156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5</w:t>
            </w:r>
          </w:p>
        </w:tc>
        <w:tc>
          <w:tcPr>
            <w:tcW w:w="155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6</w:t>
            </w:r>
          </w:p>
        </w:tc>
      </w:tr>
      <w:tr>
        <w:tblPrEx>
          <w:tblLayout w:type="fixed"/>
          <w:tblCellMar>
            <w:top w:w="0" w:type="dxa"/>
            <w:left w:w="108" w:type="dxa"/>
            <w:bottom w:w="0" w:type="dxa"/>
            <w:right w:w="108" w:type="dxa"/>
          </w:tblCellMar>
        </w:tblPrEx>
        <w:trPr>
          <w:trHeight w:val="300" w:hRule="atLeast"/>
        </w:trPr>
        <w:tc>
          <w:tcPr>
            <w:tcW w:w="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合计</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10,887.684475</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146.147791</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10,741.536684</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文化旅游体育与传媒支出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10,839.889351</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98.352667</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10,741.536684</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文物</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10,839.889351</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98.352667</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10,741.536684</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博物馆</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139.742167</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98.352667</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41.389500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2070205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博物馆</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139.742167</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98.352667</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41.389500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2070206</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历史名城与古迹</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10,700.147184</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10,700.147184</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2070206</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历史名城与古迹</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10,700.147184</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10,700.147184</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社会保障和就业支出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行政事业单位养老支出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机关事业单位基本养老保险缴费支出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10.581312</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10.581312</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2080505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机关事业单位基本养老保险缴费支出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10.581312</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10.581312</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2080506</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机关事业单位职业年金缴费支出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5.290656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5.290656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2080506</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机关事业单位职业年金缴费支出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5.290656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5.290656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卫生健康支出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行政事业单位医疗</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事业单位医疗</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2101102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事业单位医疗</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住房保障支出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住房改革支出</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2210201</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住房公积金</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11.308200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11.308200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2210201</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住房公积金</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11.308200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11.308200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提租补贴</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0.456000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0.456000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提租补贴</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0.456000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0.456000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2210203</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购房补贴</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9.133200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9.133200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0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2210203</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购房补贴</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9.133200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9.133200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6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5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bl>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rPr>
          <w:rFonts w:hint="eastAsia"/>
        </w:rPr>
      </w:pPr>
    </w:p>
    <w:p>
      <w:pPr>
        <w:spacing w:line="560" w:lineRule="exact"/>
      </w:pPr>
    </w:p>
    <w:p>
      <w:pPr>
        <w:spacing w:line="560" w:lineRule="exact"/>
        <w:rPr>
          <w:sz w:val="30"/>
          <w:szCs w:val="30"/>
        </w:rPr>
      </w:pPr>
      <w:r>
        <w:rPr>
          <w:rFonts w:hint="eastAsia"/>
          <w:sz w:val="30"/>
          <w:szCs w:val="30"/>
        </w:rPr>
        <w:t>表4：</w:t>
      </w:r>
    </w:p>
    <w:p>
      <w:pPr>
        <w:spacing w:line="560" w:lineRule="exact"/>
        <w:jc w:val="center"/>
        <w:rPr>
          <w:rFonts w:ascii="黑体" w:hAnsi="宋体" w:eastAsia="黑体" w:cs="黑体"/>
          <w:color w:val="000000"/>
          <w:kern w:val="0"/>
          <w:sz w:val="36"/>
          <w:szCs w:val="36"/>
        </w:rPr>
      </w:pPr>
      <w:r>
        <w:rPr>
          <w:rFonts w:hint="eastAsia" w:ascii="黑体" w:hAnsi="宋体" w:eastAsia="黑体" w:cs="黑体"/>
          <w:color w:val="000000"/>
          <w:kern w:val="0"/>
          <w:sz w:val="36"/>
          <w:szCs w:val="36"/>
        </w:rPr>
        <w:t>2021年财政拨款收入支出决算总表</w:t>
      </w:r>
    </w:p>
    <w:p>
      <w:pPr>
        <w:spacing w:line="560" w:lineRule="exact"/>
        <w:jc w:val="left"/>
        <w:rPr>
          <w:sz w:val="24"/>
        </w:rPr>
      </w:pPr>
      <w:r>
        <w:rPr>
          <w:rFonts w:hint="eastAsia"/>
          <w:sz w:val="24"/>
        </w:rPr>
        <w:t>单位名称：北京市西城区文物管理处                                                                           单位：万元</w:t>
      </w:r>
    </w:p>
    <w:tbl>
      <w:tblPr>
        <w:tblStyle w:val="5"/>
        <w:tblW w:w="14218" w:type="dxa"/>
        <w:tblInd w:w="0" w:type="dxa"/>
        <w:tblLayout w:type="fixed"/>
        <w:tblCellMar>
          <w:top w:w="0" w:type="dxa"/>
          <w:left w:w="108" w:type="dxa"/>
          <w:bottom w:w="0" w:type="dxa"/>
          <w:right w:w="108" w:type="dxa"/>
        </w:tblCellMar>
      </w:tblPr>
      <w:tblGrid>
        <w:gridCol w:w="2627"/>
        <w:gridCol w:w="1249"/>
        <w:gridCol w:w="1336"/>
        <w:gridCol w:w="2800"/>
        <w:gridCol w:w="1250"/>
        <w:gridCol w:w="1336"/>
        <w:gridCol w:w="905"/>
        <w:gridCol w:w="905"/>
        <w:gridCol w:w="905"/>
        <w:gridCol w:w="905"/>
      </w:tblGrid>
      <w:tr>
        <w:tblPrEx>
          <w:tblLayout w:type="fixed"/>
          <w:tblCellMar>
            <w:top w:w="0" w:type="dxa"/>
            <w:left w:w="108" w:type="dxa"/>
            <w:bottom w:w="0" w:type="dxa"/>
            <w:right w:w="108" w:type="dxa"/>
          </w:tblCellMar>
        </w:tblPrEx>
        <w:trPr>
          <w:trHeight w:val="315" w:hRule="atLeast"/>
        </w:trPr>
        <w:tc>
          <w:tcPr>
            <w:tcW w:w="5212" w:type="dxa"/>
            <w:gridSpan w:val="3"/>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Arial"/>
                <w:kern w:val="0"/>
                <w:sz w:val="20"/>
                <w:szCs w:val="20"/>
              </w:rPr>
            </w:pPr>
            <w:r>
              <w:rPr>
                <w:rFonts w:hint="eastAsia" w:ascii="宋体" w:hAnsi="宋体" w:cs="Arial"/>
                <w:kern w:val="0"/>
                <w:sz w:val="20"/>
                <w:szCs w:val="20"/>
              </w:rPr>
              <w:t>收     入</w:t>
            </w:r>
          </w:p>
        </w:tc>
        <w:tc>
          <w:tcPr>
            <w:tcW w:w="9006" w:type="dxa"/>
            <w:gridSpan w:val="7"/>
            <w:tcBorders>
              <w:top w:val="single" w:color="auto" w:sz="4" w:space="0"/>
              <w:left w:val="single" w:color="auto" w:sz="4" w:space="0"/>
              <w:bottom w:val="single" w:color="auto" w:sz="4" w:space="0"/>
              <w:right w:val="single" w:color="auto" w:sz="4" w:space="0"/>
            </w:tcBorders>
            <w:shd w:val="clear" w:color="auto" w:fill="auto"/>
            <w:noWrap/>
            <w:vAlign w:val="bottom"/>
          </w:tcPr>
          <w:p>
            <w:pPr>
              <w:widowControl/>
              <w:jc w:val="center"/>
              <w:rPr>
                <w:rFonts w:ascii="宋体" w:hAnsi="宋体" w:cs="Arial"/>
                <w:kern w:val="0"/>
                <w:sz w:val="20"/>
                <w:szCs w:val="20"/>
              </w:rPr>
            </w:pPr>
            <w:r>
              <w:rPr>
                <w:rFonts w:hint="eastAsia" w:ascii="宋体" w:hAnsi="宋体" w:cs="Arial"/>
                <w:kern w:val="0"/>
                <w:sz w:val="20"/>
                <w:szCs w:val="20"/>
              </w:rPr>
              <w:t>支     出</w:t>
            </w:r>
          </w:p>
        </w:tc>
      </w:tr>
      <w:tr>
        <w:tblPrEx>
          <w:tblLayout w:type="fixed"/>
          <w:tblCellMar>
            <w:top w:w="0" w:type="dxa"/>
            <w:left w:w="108" w:type="dxa"/>
            <w:bottom w:w="0" w:type="dxa"/>
            <w:right w:w="108" w:type="dxa"/>
          </w:tblCellMar>
        </w:tblPrEx>
        <w:trPr>
          <w:trHeight w:val="360" w:hRule="atLeast"/>
        </w:trPr>
        <w:tc>
          <w:tcPr>
            <w:tcW w:w="2627" w:type="dxa"/>
            <w:vMerge w:val="restart"/>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项    目</w:t>
            </w:r>
          </w:p>
        </w:tc>
        <w:tc>
          <w:tcPr>
            <w:tcW w:w="1249" w:type="dxa"/>
            <w:vMerge w:val="restart"/>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年初预算数</w:t>
            </w:r>
          </w:p>
        </w:tc>
        <w:tc>
          <w:tcPr>
            <w:tcW w:w="1336" w:type="dxa"/>
            <w:vMerge w:val="restart"/>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决算数</w:t>
            </w:r>
          </w:p>
        </w:tc>
        <w:tc>
          <w:tcPr>
            <w:tcW w:w="2800" w:type="dxa"/>
            <w:vMerge w:val="restart"/>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项目（按功能分类）</w:t>
            </w:r>
          </w:p>
        </w:tc>
        <w:tc>
          <w:tcPr>
            <w:tcW w:w="2586"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一般公共预算财政拨款</w:t>
            </w:r>
          </w:p>
        </w:tc>
        <w:tc>
          <w:tcPr>
            <w:tcW w:w="1810" w:type="dxa"/>
            <w:gridSpan w:val="2"/>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政府性基金预算财政拨款</w:t>
            </w:r>
          </w:p>
        </w:tc>
        <w:tc>
          <w:tcPr>
            <w:tcW w:w="181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国有资本经营预算财政拨款</w:t>
            </w:r>
          </w:p>
        </w:tc>
      </w:tr>
      <w:tr>
        <w:tblPrEx>
          <w:tblLayout w:type="fixed"/>
          <w:tblCellMar>
            <w:top w:w="0" w:type="dxa"/>
            <w:left w:w="108" w:type="dxa"/>
            <w:bottom w:w="0" w:type="dxa"/>
            <w:right w:w="108" w:type="dxa"/>
          </w:tblCellMar>
        </w:tblPrEx>
        <w:trPr>
          <w:trHeight w:val="600" w:hRule="atLeast"/>
        </w:trPr>
        <w:tc>
          <w:tcPr>
            <w:tcW w:w="262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24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3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28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250"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年初预算数</w:t>
            </w:r>
          </w:p>
        </w:tc>
        <w:tc>
          <w:tcPr>
            <w:tcW w:w="1336"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决算数</w:t>
            </w:r>
          </w:p>
        </w:tc>
        <w:tc>
          <w:tcPr>
            <w:tcW w:w="905"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年初预算数</w:t>
            </w:r>
          </w:p>
        </w:tc>
        <w:tc>
          <w:tcPr>
            <w:tcW w:w="905"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决算数</w:t>
            </w:r>
          </w:p>
        </w:tc>
        <w:tc>
          <w:tcPr>
            <w:tcW w:w="905"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年初预算数</w:t>
            </w:r>
          </w:p>
        </w:tc>
        <w:tc>
          <w:tcPr>
            <w:tcW w:w="905"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jc w:val="center"/>
              <w:rPr>
                <w:rFonts w:ascii="宋体" w:hAnsi="宋体" w:cs="Arial"/>
                <w:kern w:val="0"/>
                <w:sz w:val="20"/>
                <w:szCs w:val="20"/>
              </w:rPr>
            </w:pPr>
            <w:r>
              <w:rPr>
                <w:rFonts w:hint="eastAsia" w:ascii="宋体" w:hAnsi="宋体" w:cs="Arial"/>
                <w:kern w:val="0"/>
                <w:sz w:val="20"/>
                <w:szCs w:val="20"/>
              </w:rPr>
              <w:t>决算数</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一、一般公共预算财政拨款</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9,415.627021</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一、一般公共服务支出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二、政府性基金预算财政拨款</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二、外交支出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三、国有资本经营预算财政拨款</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三、国防支出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四、公共安全支出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五、教育支出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0.433500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六、科学技术支出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七、文化旅游体育与传媒支出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3,824.994372</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10,839.889351</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八、社会保障和就业支出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19.292544</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15.871968</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九、卫生健康支出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10.450128</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十、节能环保支出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十一、城乡社区支出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十二、农林水支出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十三、交通运输支出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十四、资源勘探信息等支出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十五、商业服务业等支出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十六、金融支出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十七、援助其他地区支出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十八、自然资源海洋气象等支出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十九、住房保障支出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23.056272</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20.897400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二十、粮油物资储备支出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二十一、国有资本经营预算支出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二十二、灾害防治及应急管理支出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二十三、其他支出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二十四、债务还本支出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二十五、债务付息支出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二十六、抗疫特别国债安排的支出</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本年收入合计</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9,415.627021</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本年支出合计</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10,887.684475</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年初财政拨款结转和结余</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1,526.291080</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年末财政拨款结转和结余</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54.233626</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一、一般公共预算财政拨款</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1,526.291080</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二、政府性基金预算财政拨款</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三、国有资本经营预算财政拨款</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00" w:hRule="atLeast"/>
        </w:trPr>
        <w:tc>
          <w:tcPr>
            <w:tcW w:w="262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总计</w:t>
            </w:r>
          </w:p>
        </w:tc>
        <w:tc>
          <w:tcPr>
            <w:tcW w:w="124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10,941.918101</w:t>
            </w:r>
          </w:p>
        </w:tc>
        <w:tc>
          <w:tcPr>
            <w:tcW w:w="280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总计</w:t>
            </w:r>
          </w:p>
        </w:tc>
        <w:tc>
          <w:tcPr>
            <w:tcW w:w="125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3,878.226816</w:t>
            </w:r>
          </w:p>
        </w:tc>
        <w:tc>
          <w:tcPr>
            <w:tcW w:w="133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10,941.918101</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905"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bl>
    <w:p>
      <w:pPr>
        <w:spacing w:line="560" w:lineRule="exact"/>
        <w:sectPr>
          <w:footerReference r:id="rId9" w:type="default"/>
          <w:pgSz w:w="16838" w:h="11906" w:orient="landscape"/>
          <w:pgMar w:top="1418" w:right="1418" w:bottom="1418" w:left="1418" w:header="851" w:footer="992" w:gutter="0"/>
          <w:cols w:space="720" w:num="1"/>
          <w:docGrid w:linePitch="312" w:charSpace="0"/>
        </w:sectPr>
      </w:pPr>
    </w:p>
    <w:p>
      <w:pPr>
        <w:spacing w:line="560" w:lineRule="exact"/>
        <w:rPr>
          <w:sz w:val="30"/>
          <w:szCs w:val="30"/>
        </w:rPr>
      </w:pPr>
      <w:r>
        <w:rPr>
          <w:rFonts w:hint="eastAsia"/>
          <w:sz w:val="30"/>
          <w:szCs w:val="30"/>
        </w:rPr>
        <w:t>表5：</w:t>
      </w:r>
    </w:p>
    <w:p>
      <w:pPr>
        <w:spacing w:line="560" w:lineRule="exact"/>
        <w:jc w:val="center"/>
        <w:rPr>
          <w:rFonts w:hint="eastAsia"/>
          <w:sz w:val="36"/>
          <w:szCs w:val="36"/>
        </w:rPr>
      </w:pPr>
      <w:r>
        <w:rPr>
          <w:rFonts w:hint="eastAsia" w:ascii="黑体" w:hAnsi="宋体" w:eastAsia="黑体" w:cs="黑体"/>
          <w:color w:val="000000"/>
          <w:kern w:val="0"/>
          <w:sz w:val="36"/>
          <w:szCs w:val="36"/>
        </w:rPr>
        <w:t>2021年一般公共预算财政拨款支出决算表</w:t>
      </w:r>
    </w:p>
    <w:tbl>
      <w:tblPr>
        <w:tblStyle w:val="5"/>
        <w:tblW w:w="14218" w:type="dxa"/>
        <w:tblInd w:w="0" w:type="dxa"/>
        <w:tblLayout w:type="fixed"/>
        <w:tblCellMar>
          <w:top w:w="0" w:type="dxa"/>
          <w:left w:w="108" w:type="dxa"/>
          <w:bottom w:w="0" w:type="dxa"/>
          <w:right w:w="108" w:type="dxa"/>
        </w:tblCellMar>
      </w:tblPr>
      <w:tblGrid>
        <w:gridCol w:w="416"/>
        <w:gridCol w:w="416"/>
        <w:gridCol w:w="416"/>
        <w:gridCol w:w="3616"/>
        <w:gridCol w:w="3929"/>
        <w:gridCol w:w="1809"/>
        <w:gridCol w:w="1809"/>
        <w:gridCol w:w="1807"/>
      </w:tblGrid>
      <w:tr>
        <w:tblPrEx>
          <w:tblLayout w:type="fixed"/>
          <w:tblCellMar>
            <w:top w:w="0" w:type="dxa"/>
            <w:left w:w="108" w:type="dxa"/>
            <w:bottom w:w="0" w:type="dxa"/>
            <w:right w:w="108" w:type="dxa"/>
          </w:tblCellMar>
        </w:tblPrEx>
        <w:trPr>
          <w:trHeight w:val="300" w:hRule="atLeast"/>
        </w:trPr>
        <w:tc>
          <w:tcPr>
            <w:tcW w:w="4864" w:type="dxa"/>
            <w:gridSpan w:val="4"/>
            <w:tcBorders>
              <w:top w:val="nil"/>
              <w:left w:val="nil"/>
              <w:bottom w:val="single" w:color="auto" w:sz="4" w:space="0"/>
              <w:right w:val="nil"/>
            </w:tcBorders>
            <w:shd w:val="clear" w:color="auto" w:fill="auto"/>
            <w:noWrap/>
            <w:vAlign w:val="center"/>
          </w:tcPr>
          <w:p>
            <w:pPr>
              <w:widowControl/>
              <w:jc w:val="left"/>
              <w:rPr>
                <w:rFonts w:ascii="宋体" w:hAnsi="宋体" w:cs="Arial"/>
                <w:color w:val="000000"/>
                <w:kern w:val="0"/>
                <w:sz w:val="24"/>
              </w:rPr>
            </w:pPr>
            <w:r>
              <w:rPr>
                <w:rFonts w:hint="eastAsia" w:ascii="宋体" w:hAnsi="宋体" w:cs="Arial"/>
                <w:color w:val="000000"/>
                <w:kern w:val="0"/>
                <w:sz w:val="24"/>
              </w:rPr>
              <w:t>单位名称：北京市西城区文物管理处</w:t>
            </w:r>
          </w:p>
        </w:tc>
        <w:tc>
          <w:tcPr>
            <w:tcW w:w="3929"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809"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809" w:type="dxa"/>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18"/>
                <w:szCs w:val="18"/>
              </w:rPr>
            </w:pPr>
            <w:r>
              <w:rPr>
                <w:rFonts w:hint="eastAsia" w:ascii="宋体" w:hAnsi="宋体" w:cs="Arial"/>
                <w:kern w:val="0"/>
                <w:sz w:val="18"/>
                <w:szCs w:val="18"/>
              </w:rPr>
              <w:t>　</w:t>
            </w:r>
          </w:p>
        </w:tc>
        <w:tc>
          <w:tcPr>
            <w:tcW w:w="1807" w:type="dxa"/>
            <w:tcBorders>
              <w:top w:val="nil"/>
              <w:left w:val="nil"/>
              <w:bottom w:val="single" w:color="auto" w:sz="4" w:space="0"/>
            </w:tcBorders>
            <w:shd w:val="clear" w:color="auto" w:fill="auto"/>
            <w:noWrap/>
            <w:vAlign w:val="center"/>
          </w:tcPr>
          <w:p>
            <w:pPr>
              <w:widowControl/>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486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项目</w:t>
            </w:r>
          </w:p>
        </w:tc>
        <w:tc>
          <w:tcPr>
            <w:tcW w:w="392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单位名称</w:t>
            </w:r>
          </w:p>
        </w:tc>
        <w:tc>
          <w:tcPr>
            <w:tcW w:w="18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合计</w:t>
            </w:r>
          </w:p>
        </w:tc>
        <w:tc>
          <w:tcPr>
            <w:tcW w:w="180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基本支出</w:t>
            </w:r>
          </w:p>
        </w:tc>
        <w:tc>
          <w:tcPr>
            <w:tcW w:w="180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项目支出</w:t>
            </w:r>
          </w:p>
        </w:tc>
      </w:tr>
      <w:tr>
        <w:tblPrEx>
          <w:tblLayout w:type="fixed"/>
          <w:tblCellMar>
            <w:top w:w="0" w:type="dxa"/>
            <w:left w:w="108" w:type="dxa"/>
            <w:bottom w:w="0" w:type="dxa"/>
            <w:right w:w="108" w:type="dxa"/>
          </w:tblCellMar>
        </w:tblPrEx>
        <w:trPr>
          <w:trHeight w:val="300" w:hRule="atLeast"/>
        </w:trPr>
        <w:tc>
          <w:tcPr>
            <w:tcW w:w="1248"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支出功能分类科目编码</w:t>
            </w:r>
          </w:p>
        </w:tc>
        <w:tc>
          <w:tcPr>
            <w:tcW w:w="3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科目名称</w:t>
            </w:r>
          </w:p>
        </w:tc>
        <w:tc>
          <w:tcPr>
            <w:tcW w:w="39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270" w:hRule="atLeast"/>
        </w:trPr>
        <w:tc>
          <w:tcPr>
            <w:tcW w:w="124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3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39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259" w:hRule="atLeast"/>
        </w:trPr>
        <w:tc>
          <w:tcPr>
            <w:tcW w:w="1248"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36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392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180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4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类</w:t>
            </w:r>
          </w:p>
        </w:tc>
        <w:tc>
          <w:tcPr>
            <w:tcW w:w="4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款</w:t>
            </w:r>
          </w:p>
        </w:tc>
        <w:tc>
          <w:tcPr>
            <w:tcW w:w="4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项</w:t>
            </w:r>
          </w:p>
        </w:tc>
        <w:tc>
          <w:tcPr>
            <w:tcW w:w="36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r>
              <w:rPr>
                <w:rFonts w:hint="eastAsia" w:ascii="宋体" w:hAnsi="宋体" w:cs="Arial"/>
                <w:kern w:val="0"/>
                <w:sz w:val="20"/>
                <w:szCs w:val="20"/>
              </w:rPr>
              <w:t>栏次</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1</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2</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3</w:t>
            </w:r>
          </w:p>
        </w:tc>
      </w:tr>
      <w:tr>
        <w:tblPrEx>
          <w:tblLayout w:type="fixed"/>
          <w:tblCellMar>
            <w:top w:w="0" w:type="dxa"/>
            <w:left w:w="108" w:type="dxa"/>
            <w:bottom w:w="0" w:type="dxa"/>
            <w:right w:w="108" w:type="dxa"/>
          </w:tblCellMar>
        </w:tblPrEx>
        <w:trPr>
          <w:trHeight w:val="300" w:hRule="atLeast"/>
        </w:trPr>
        <w:tc>
          <w:tcPr>
            <w:tcW w:w="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Arial"/>
                <w:kern w:val="0"/>
                <w:sz w:val="20"/>
                <w:szCs w:val="20"/>
              </w:rPr>
            </w:pPr>
          </w:p>
        </w:tc>
        <w:tc>
          <w:tcPr>
            <w:tcW w:w="36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合计</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10,887.684475</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146.147791</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10,741.536684</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文化旅游体育与传媒支出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10,839.889351</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98.352667</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10,741.536684</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文物</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10,839.889351</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98.352667</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10,741.536684</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博物馆</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139.742167</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98.352667</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41.389500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2070205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博物馆</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北京市西城区文物管理处</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139.742167</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98.352667</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41.389500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2070206</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历史名城与古迹</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10,700.147184</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10,700.147184</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2070206</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历史名城与古迹</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北京市西城区文物管理处</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10,700.147184</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10,700.147184</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社会保障和就业支出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行政事业单位养老支出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15.871968</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机关事业单位基本养老保险缴费支出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10.581312</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10.581312</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2080505</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机关事业单位基本养老保险缴费支出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北京市西城区文物管理处</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10.581312</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10.581312</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2080506</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机关事业单位职业年金缴费支出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5.290656</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5.290656</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2080506</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机关事业单位职业年金缴费支出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北京市西城区文物管理处</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5.290656</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5.290656</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卫生健康支出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行政事业单位医疗</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2101102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事业单位医疗</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11.025756</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2101102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事业单位医疗</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北京市西城区文物管理处</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住房保障支出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住房改革支出</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20.897400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2210201</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住房公积金</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11.308200</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11.308200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2210201</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住房公积金</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北京市西城区文物管理处</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11.308200</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11.308200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提租补贴</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0.456000</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0.456000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2210202</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提租补贴</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北京市西城区文物管理处</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0.456000</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0.456000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2210203</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购房补贴</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b/>
                <w:bCs/>
                <w:kern w:val="0"/>
                <w:sz w:val="20"/>
                <w:szCs w:val="20"/>
              </w:rPr>
            </w:pPr>
            <w:r>
              <w:rPr>
                <w:rFonts w:hint="eastAsia" w:ascii="宋体" w:hAnsi="宋体" w:cs="Arial"/>
                <w:b/>
                <w:bCs/>
                <w:kern w:val="0"/>
                <w:sz w:val="20"/>
                <w:szCs w:val="20"/>
              </w:rPr>
              <w:t>　</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9.133200</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9.133200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b/>
                <w:bCs/>
                <w:kern w:val="0"/>
                <w:sz w:val="20"/>
                <w:szCs w:val="20"/>
              </w:rPr>
            </w:pPr>
            <w:r>
              <w:rPr>
                <w:rFonts w:hint="eastAsia" w:ascii="宋体" w:hAnsi="宋体" w:cs="Arial"/>
                <w:b/>
                <w:bCs/>
                <w:kern w:val="0"/>
                <w:sz w:val="20"/>
                <w:szCs w:val="20"/>
              </w:rPr>
              <w:t>0.000000</w:t>
            </w:r>
          </w:p>
        </w:tc>
      </w:tr>
      <w:tr>
        <w:tblPrEx>
          <w:tblLayout w:type="fixed"/>
          <w:tblCellMar>
            <w:top w:w="0" w:type="dxa"/>
            <w:left w:w="108" w:type="dxa"/>
            <w:bottom w:w="0" w:type="dxa"/>
            <w:right w:w="108" w:type="dxa"/>
          </w:tblCellMar>
        </w:tblPrEx>
        <w:trPr>
          <w:trHeight w:val="330" w:hRule="atLeast"/>
        </w:trPr>
        <w:tc>
          <w:tcPr>
            <w:tcW w:w="124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2210203</w:t>
            </w:r>
          </w:p>
        </w:tc>
        <w:tc>
          <w:tcPr>
            <w:tcW w:w="3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购房补贴</w:t>
            </w:r>
          </w:p>
        </w:tc>
        <w:tc>
          <w:tcPr>
            <w:tcW w:w="392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北京市西城区文物管理处</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9.133200</w:t>
            </w:r>
          </w:p>
        </w:tc>
        <w:tc>
          <w:tcPr>
            <w:tcW w:w="180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9.133200</w:t>
            </w:r>
          </w:p>
        </w:tc>
        <w:tc>
          <w:tcPr>
            <w:tcW w:w="18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bl>
    <w:p>
      <w:pPr>
        <w:spacing w:line="560" w:lineRule="exact"/>
        <w:sectPr>
          <w:pgSz w:w="16838" w:h="11906" w:orient="landscape"/>
          <w:pgMar w:top="1418" w:right="1418" w:bottom="1418" w:left="1418" w:header="851" w:footer="992" w:gutter="0"/>
          <w:cols w:space="720" w:num="1"/>
          <w:docGrid w:linePitch="312" w:charSpace="0"/>
        </w:sectPr>
      </w:pPr>
    </w:p>
    <w:p>
      <w:pPr>
        <w:spacing w:line="560" w:lineRule="exact"/>
        <w:rPr>
          <w:sz w:val="30"/>
          <w:szCs w:val="30"/>
        </w:rPr>
      </w:pPr>
      <w:r>
        <w:rPr>
          <w:rFonts w:hint="eastAsia"/>
          <w:sz w:val="30"/>
          <w:szCs w:val="30"/>
        </w:rPr>
        <w:t>表6：</w:t>
      </w:r>
    </w:p>
    <w:p>
      <w:pPr>
        <w:spacing w:line="560" w:lineRule="exact"/>
        <w:jc w:val="center"/>
        <w:rPr>
          <w:sz w:val="30"/>
          <w:szCs w:val="30"/>
        </w:rPr>
      </w:pPr>
      <w:r>
        <w:rPr>
          <w:rFonts w:hint="eastAsia" w:ascii="黑体" w:hAnsi="宋体" w:eastAsia="黑体" w:cs="黑体"/>
          <w:color w:val="000000"/>
          <w:kern w:val="0"/>
          <w:sz w:val="36"/>
          <w:szCs w:val="36"/>
        </w:rPr>
        <w:t>2021年一般公共预算财政拨款基本支出决算表</w:t>
      </w:r>
    </w:p>
    <w:p>
      <w:pPr>
        <w:spacing w:line="560" w:lineRule="exact"/>
        <w:rPr>
          <w:sz w:val="24"/>
        </w:rPr>
      </w:pPr>
      <w:r>
        <w:rPr>
          <w:rFonts w:hint="eastAsia"/>
          <w:sz w:val="24"/>
        </w:rPr>
        <w:t>单位名称：北京市西城区文物管理处                                                                       单位：万元</w:t>
      </w:r>
    </w:p>
    <w:tbl>
      <w:tblPr>
        <w:tblStyle w:val="5"/>
        <w:tblW w:w="14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6"/>
        <w:gridCol w:w="1538"/>
        <w:gridCol w:w="2271"/>
        <w:gridCol w:w="1538"/>
        <w:gridCol w:w="4116"/>
        <w:gridCol w:w="15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科目名称</w:t>
            </w:r>
          </w:p>
        </w:tc>
        <w:tc>
          <w:tcPr>
            <w:tcW w:w="1538" w:type="dxa"/>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决算数</w:t>
            </w:r>
          </w:p>
        </w:tc>
        <w:tc>
          <w:tcPr>
            <w:tcW w:w="2271" w:type="dxa"/>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科目名称</w:t>
            </w:r>
          </w:p>
        </w:tc>
        <w:tc>
          <w:tcPr>
            <w:tcW w:w="1538" w:type="dxa"/>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决算数</w:t>
            </w:r>
          </w:p>
        </w:tc>
        <w:tc>
          <w:tcPr>
            <w:tcW w:w="4116" w:type="dxa"/>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科目名称</w:t>
            </w:r>
          </w:p>
        </w:tc>
        <w:tc>
          <w:tcPr>
            <w:tcW w:w="1539" w:type="dxa"/>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决算数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工资福利支出</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136.230716</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商品和服务支出</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9.917075</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资本性支出</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基本工资</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18.289400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办公费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0.481781</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房屋建筑物购建</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津贴补贴</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20.130700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印刷费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办公设备购置</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奖金</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咨询费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专用设备购置</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伙食补助费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手续费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0.073450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基础设施建设</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绩效工资</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54.472000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水费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0.390000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大型修缮</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机关事业单位基本养老保险缴费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10.581312</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电费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1.182091</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信息网络及软件购置更新</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职业年金缴费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5.290656</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邮电费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2.462253</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物资储备</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职工基本医疗保险缴费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11.025756</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取暖费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土地补偿</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公务员医疗补助缴费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物业管理费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安置补助</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其他社会保障缴费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0.666192</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差旅费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地上附着物和青苗补偿</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住房公积金</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11.308200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因公出国（境）费用</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拆迁补偿</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医疗费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维修（护）费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0.035600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公务用车购置</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其他工资福利支出</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4.466500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租赁费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其他交通工具购置</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对个人和家庭的补助</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会议费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文物和陈列品购置</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离休费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培训费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无形资产购置</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退休费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公务接待费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其他资本性支出</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退职（役）费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专用材料费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对企业补助</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抚恤金</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被装购置费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资本金注入</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生活补助</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专用燃料费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政府投资基金股权投资</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救济费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劳务费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费用补贴</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医疗费补助</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委托业务费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利息补贴</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助学金</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工会经费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1.198232</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其他对企业补助</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奖励金</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福利费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0.771500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其他支出</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个人农业生产补贴</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公务用车运行维护费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赠与</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代缴社会保险费</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其他交通费用</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国家赔偿费用支出</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其他对个人和家庭的补助</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税金及附加费用</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1.303695</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对民间非营利组织和群众性自治组织补贴</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8"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其他商品和服务支出</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2.018473</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其他支出</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8"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债务利息及费用支出</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9"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8"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国内债务付息</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9"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8"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国外债务付息</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9"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8"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国内债务发行费用</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9"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8"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2271"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国外债务发行费用</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c>
          <w:tcPr>
            <w:tcW w:w="411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c>
          <w:tcPr>
            <w:tcW w:w="1539"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0" w:hRule="atLeast"/>
        </w:trPr>
        <w:tc>
          <w:tcPr>
            <w:tcW w:w="3216" w:type="dxa"/>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人员经费合计</w:t>
            </w:r>
          </w:p>
        </w:tc>
        <w:tc>
          <w:tcPr>
            <w:tcW w:w="1538"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136.230716</w:t>
            </w:r>
          </w:p>
        </w:tc>
        <w:tc>
          <w:tcPr>
            <w:tcW w:w="7925" w:type="dxa"/>
            <w:gridSpan w:val="3"/>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公用经费合计</w:t>
            </w:r>
          </w:p>
        </w:tc>
        <w:tc>
          <w:tcPr>
            <w:tcW w:w="1539"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9.917075</w:t>
            </w:r>
          </w:p>
        </w:tc>
      </w:tr>
    </w:tbl>
    <w:p>
      <w:pPr>
        <w:spacing w:line="560" w:lineRule="exact"/>
      </w:pPr>
    </w:p>
    <w:p>
      <w:pPr>
        <w:spacing w:line="560" w:lineRule="exact"/>
      </w:pPr>
    </w:p>
    <w:p>
      <w:pPr>
        <w:spacing w:line="560" w:lineRule="exact"/>
      </w:pPr>
    </w:p>
    <w:p>
      <w:pPr>
        <w:spacing w:line="560" w:lineRule="exact"/>
      </w:pPr>
    </w:p>
    <w:p>
      <w:pPr>
        <w:spacing w:line="560" w:lineRule="exact"/>
        <w:sectPr>
          <w:pgSz w:w="16838" w:h="11906" w:orient="landscape"/>
          <w:pgMar w:top="1418" w:right="1418" w:bottom="1418" w:left="1418" w:header="851" w:footer="992" w:gutter="0"/>
          <w:cols w:space="720" w:num="1"/>
          <w:docGrid w:linePitch="312" w:charSpace="0"/>
        </w:sectPr>
      </w:pPr>
    </w:p>
    <w:p>
      <w:pPr>
        <w:spacing w:line="560" w:lineRule="exact"/>
        <w:rPr>
          <w:sz w:val="30"/>
          <w:szCs w:val="30"/>
        </w:rPr>
      </w:pPr>
      <w:r>
        <w:rPr>
          <w:rFonts w:hint="eastAsia"/>
          <w:sz w:val="30"/>
          <w:szCs w:val="30"/>
        </w:rPr>
        <w:t>表7：</w:t>
      </w:r>
    </w:p>
    <w:p>
      <w:pPr>
        <w:spacing w:line="560" w:lineRule="exact"/>
        <w:jc w:val="center"/>
        <w:rPr>
          <w:rFonts w:ascii="黑体" w:hAnsi="宋体" w:eastAsia="黑体" w:cs="黑体"/>
          <w:color w:val="000000"/>
          <w:kern w:val="0"/>
          <w:sz w:val="36"/>
          <w:szCs w:val="36"/>
        </w:rPr>
      </w:pPr>
      <w:r>
        <w:rPr>
          <w:rFonts w:hint="eastAsia" w:ascii="黑体" w:hAnsi="宋体" w:eastAsia="黑体" w:cs="黑体"/>
          <w:color w:val="000000"/>
          <w:kern w:val="0"/>
          <w:sz w:val="36"/>
          <w:szCs w:val="36"/>
        </w:rPr>
        <w:t>2021年政府性基金预算财政拨款支出决算表</w:t>
      </w:r>
    </w:p>
    <w:p>
      <w:pPr>
        <w:spacing w:line="560" w:lineRule="exact"/>
        <w:jc w:val="center"/>
        <w:rPr>
          <w:rFonts w:ascii="黑体" w:hAnsi="宋体" w:eastAsia="黑体" w:cs="黑体"/>
          <w:color w:val="000000"/>
          <w:kern w:val="0"/>
          <w:sz w:val="24"/>
        </w:rPr>
      </w:pPr>
      <w:r>
        <w:rPr>
          <w:rFonts w:hint="eastAsia" w:ascii="黑体" w:hAnsi="宋体" w:eastAsia="黑体" w:cs="黑体"/>
          <w:color w:val="000000"/>
          <w:kern w:val="0"/>
          <w:sz w:val="24"/>
        </w:rPr>
        <w:t>（不属于此项支出统计范围）</w:t>
      </w:r>
    </w:p>
    <w:tbl>
      <w:tblPr>
        <w:tblStyle w:val="5"/>
        <w:tblW w:w="14218" w:type="dxa"/>
        <w:tblInd w:w="0" w:type="dxa"/>
        <w:tblLayout w:type="fixed"/>
        <w:tblCellMar>
          <w:top w:w="0" w:type="dxa"/>
          <w:left w:w="108" w:type="dxa"/>
          <w:bottom w:w="0" w:type="dxa"/>
          <w:right w:w="108" w:type="dxa"/>
        </w:tblCellMar>
      </w:tblPr>
      <w:tblGrid>
        <w:gridCol w:w="417"/>
        <w:gridCol w:w="417"/>
        <w:gridCol w:w="416"/>
        <w:gridCol w:w="3268"/>
        <w:gridCol w:w="1616"/>
        <w:gridCol w:w="1616"/>
        <w:gridCol w:w="1616"/>
        <w:gridCol w:w="1616"/>
        <w:gridCol w:w="1619"/>
        <w:gridCol w:w="1617"/>
      </w:tblGrid>
      <w:tr>
        <w:tblPrEx>
          <w:tblLayout w:type="fixed"/>
          <w:tblCellMar>
            <w:top w:w="0" w:type="dxa"/>
            <w:left w:w="108" w:type="dxa"/>
            <w:bottom w:w="0" w:type="dxa"/>
            <w:right w:w="108" w:type="dxa"/>
          </w:tblCellMar>
        </w:tblPrEx>
        <w:trPr>
          <w:trHeight w:val="300" w:hRule="atLeast"/>
        </w:trPr>
        <w:tc>
          <w:tcPr>
            <w:tcW w:w="4518" w:type="dxa"/>
            <w:gridSpan w:val="4"/>
            <w:tcBorders>
              <w:top w:val="nil"/>
              <w:left w:val="nil"/>
              <w:bottom w:val="single" w:color="auto" w:sz="4" w:space="0"/>
              <w:right w:val="nil"/>
            </w:tcBorders>
            <w:shd w:val="clear" w:color="auto" w:fill="auto"/>
            <w:noWrap/>
            <w:vAlign w:val="center"/>
          </w:tcPr>
          <w:p>
            <w:pPr>
              <w:widowControl/>
              <w:spacing w:line="560" w:lineRule="exact"/>
              <w:jc w:val="left"/>
              <w:rPr>
                <w:rFonts w:ascii="宋体" w:hAnsi="宋体" w:cs="Arial"/>
                <w:color w:val="000000"/>
                <w:kern w:val="0"/>
                <w:sz w:val="24"/>
              </w:rPr>
            </w:pPr>
            <w:r>
              <w:rPr>
                <w:rFonts w:hint="eastAsia" w:ascii="宋体" w:hAnsi="宋体" w:cs="Arial"/>
                <w:color w:val="000000"/>
                <w:kern w:val="0"/>
                <w:sz w:val="24"/>
              </w:rPr>
              <w:t>单位名称：北京市西城区文物管理处</w:t>
            </w:r>
          </w:p>
        </w:tc>
        <w:tc>
          <w:tcPr>
            <w:tcW w:w="1616" w:type="dxa"/>
            <w:tcBorders>
              <w:top w:val="nil"/>
              <w:left w:val="nil"/>
              <w:bottom w:val="single" w:color="auto" w:sz="4" w:space="0"/>
              <w:right w:val="nil"/>
            </w:tcBorders>
            <w:shd w:val="clear" w:color="auto" w:fill="auto"/>
            <w:noWrap/>
            <w:vAlign w:val="center"/>
          </w:tcPr>
          <w:p>
            <w:pPr>
              <w:widowControl/>
              <w:spacing w:line="560" w:lineRule="exact"/>
              <w:jc w:val="center"/>
              <w:rPr>
                <w:rFonts w:ascii="宋体" w:hAnsi="宋体" w:cs="Arial"/>
                <w:color w:val="000000"/>
                <w:kern w:val="0"/>
                <w:sz w:val="24"/>
              </w:rPr>
            </w:pPr>
            <w:r>
              <w:rPr>
                <w:rFonts w:hint="eastAsia" w:ascii="宋体" w:hAnsi="宋体" w:cs="Arial"/>
                <w:color w:val="000000"/>
                <w:kern w:val="0"/>
                <w:sz w:val="24"/>
              </w:rPr>
              <w:t>　</w:t>
            </w:r>
          </w:p>
        </w:tc>
        <w:tc>
          <w:tcPr>
            <w:tcW w:w="1616" w:type="dxa"/>
            <w:tcBorders>
              <w:top w:val="nil"/>
              <w:left w:val="nil"/>
              <w:bottom w:val="single" w:color="auto" w:sz="4" w:space="0"/>
              <w:right w:val="nil"/>
            </w:tcBorders>
            <w:shd w:val="clear" w:color="auto" w:fill="auto"/>
            <w:noWrap/>
            <w:vAlign w:val="center"/>
          </w:tcPr>
          <w:p>
            <w:pPr>
              <w:widowControl/>
              <w:spacing w:line="560" w:lineRule="exact"/>
              <w:jc w:val="left"/>
              <w:rPr>
                <w:rFonts w:ascii="宋体" w:hAnsi="宋体" w:cs="Arial"/>
                <w:kern w:val="0"/>
                <w:sz w:val="18"/>
                <w:szCs w:val="18"/>
              </w:rPr>
            </w:pPr>
            <w:r>
              <w:rPr>
                <w:rFonts w:hint="eastAsia" w:ascii="宋体" w:hAnsi="宋体" w:cs="Arial"/>
                <w:kern w:val="0"/>
                <w:sz w:val="18"/>
                <w:szCs w:val="18"/>
              </w:rPr>
              <w:t>　</w:t>
            </w:r>
          </w:p>
        </w:tc>
        <w:tc>
          <w:tcPr>
            <w:tcW w:w="1616" w:type="dxa"/>
            <w:tcBorders>
              <w:top w:val="nil"/>
              <w:left w:val="nil"/>
              <w:bottom w:val="single" w:color="auto" w:sz="4" w:space="0"/>
              <w:right w:val="nil"/>
            </w:tcBorders>
            <w:shd w:val="clear" w:color="auto" w:fill="auto"/>
            <w:noWrap/>
            <w:vAlign w:val="center"/>
          </w:tcPr>
          <w:p>
            <w:pPr>
              <w:widowControl/>
              <w:spacing w:line="560" w:lineRule="exact"/>
              <w:jc w:val="left"/>
              <w:rPr>
                <w:rFonts w:ascii="宋体" w:hAnsi="宋体" w:cs="Arial"/>
                <w:kern w:val="0"/>
                <w:sz w:val="18"/>
                <w:szCs w:val="18"/>
              </w:rPr>
            </w:pPr>
            <w:r>
              <w:rPr>
                <w:rFonts w:hint="eastAsia" w:ascii="宋体" w:hAnsi="宋体" w:cs="Arial"/>
                <w:kern w:val="0"/>
                <w:sz w:val="18"/>
                <w:szCs w:val="18"/>
              </w:rPr>
              <w:t>　</w:t>
            </w:r>
          </w:p>
        </w:tc>
        <w:tc>
          <w:tcPr>
            <w:tcW w:w="1616" w:type="dxa"/>
            <w:tcBorders>
              <w:top w:val="nil"/>
              <w:left w:val="nil"/>
              <w:bottom w:val="single" w:color="auto" w:sz="4" w:space="0"/>
              <w:right w:val="nil"/>
            </w:tcBorders>
            <w:shd w:val="clear" w:color="auto" w:fill="auto"/>
            <w:noWrap/>
            <w:vAlign w:val="center"/>
          </w:tcPr>
          <w:p>
            <w:pPr>
              <w:widowControl/>
              <w:spacing w:line="560" w:lineRule="exact"/>
              <w:jc w:val="left"/>
              <w:rPr>
                <w:rFonts w:ascii="宋体" w:hAnsi="宋体" w:cs="Arial"/>
                <w:kern w:val="0"/>
                <w:sz w:val="18"/>
                <w:szCs w:val="18"/>
              </w:rPr>
            </w:pPr>
            <w:r>
              <w:rPr>
                <w:rFonts w:hint="eastAsia" w:ascii="宋体" w:hAnsi="宋体" w:cs="Arial"/>
                <w:kern w:val="0"/>
                <w:sz w:val="18"/>
                <w:szCs w:val="18"/>
              </w:rPr>
              <w:t>　</w:t>
            </w:r>
          </w:p>
        </w:tc>
        <w:tc>
          <w:tcPr>
            <w:tcW w:w="1619" w:type="dxa"/>
            <w:tcBorders>
              <w:top w:val="nil"/>
              <w:left w:val="nil"/>
              <w:bottom w:val="single" w:color="auto" w:sz="4" w:space="0"/>
              <w:right w:val="nil"/>
            </w:tcBorders>
            <w:shd w:val="clear" w:color="auto" w:fill="auto"/>
            <w:noWrap/>
            <w:vAlign w:val="center"/>
          </w:tcPr>
          <w:p>
            <w:pPr>
              <w:widowControl/>
              <w:spacing w:line="560" w:lineRule="exact"/>
              <w:jc w:val="left"/>
              <w:rPr>
                <w:rFonts w:ascii="宋体" w:hAnsi="宋体" w:cs="Arial"/>
                <w:kern w:val="0"/>
                <w:sz w:val="18"/>
                <w:szCs w:val="18"/>
              </w:rPr>
            </w:pPr>
            <w:r>
              <w:rPr>
                <w:rFonts w:hint="eastAsia" w:ascii="宋体" w:hAnsi="宋体" w:cs="Arial"/>
                <w:kern w:val="0"/>
                <w:sz w:val="18"/>
                <w:szCs w:val="18"/>
              </w:rPr>
              <w:t>　</w:t>
            </w:r>
          </w:p>
        </w:tc>
        <w:tc>
          <w:tcPr>
            <w:tcW w:w="1617" w:type="dxa"/>
            <w:tcBorders>
              <w:top w:val="nil"/>
              <w:left w:val="nil"/>
              <w:bottom w:val="single" w:color="auto" w:sz="4" w:space="0"/>
              <w:right w:val="nil"/>
            </w:tcBorders>
            <w:shd w:val="clear" w:color="auto" w:fill="auto"/>
            <w:noWrap/>
            <w:vAlign w:val="center"/>
          </w:tcPr>
          <w:p>
            <w:pPr>
              <w:widowControl/>
              <w:spacing w:line="560" w:lineRule="exact"/>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trPr>
        <w:tc>
          <w:tcPr>
            <w:tcW w:w="4518"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项目</w:t>
            </w:r>
          </w:p>
        </w:tc>
        <w:tc>
          <w:tcPr>
            <w:tcW w:w="1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上年结转和结余</w:t>
            </w:r>
          </w:p>
        </w:tc>
        <w:tc>
          <w:tcPr>
            <w:tcW w:w="1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本年收入</w:t>
            </w:r>
          </w:p>
        </w:tc>
        <w:tc>
          <w:tcPr>
            <w:tcW w:w="4851"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本年支出</w:t>
            </w:r>
          </w:p>
        </w:tc>
        <w:tc>
          <w:tcPr>
            <w:tcW w:w="16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年末结转结余</w:t>
            </w:r>
          </w:p>
        </w:tc>
      </w:tr>
      <w:tr>
        <w:tblPrEx>
          <w:tblLayout w:type="fixed"/>
          <w:tblCellMar>
            <w:top w:w="0" w:type="dxa"/>
            <w:left w:w="108" w:type="dxa"/>
            <w:bottom w:w="0" w:type="dxa"/>
            <w:right w:w="108" w:type="dxa"/>
          </w:tblCellMar>
        </w:tblPrEx>
        <w:trPr>
          <w:trHeight w:val="560" w:hRule="atLeast"/>
        </w:trPr>
        <w:tc>
          <w:tcPr>
            <w:tcW w:w="1250"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支出功能分类科目编码</w:t>
            </w:r>
          </w:p>
        </w:tc>
        <w:tc>
          <w:tcPr>
            <w:tcW w:w="326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科目名称</w:t>
            </w: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合计</w:t>
            </w:r>
          </w:p>
        </w:tc>
        <w:tc>
          <w:tcPr>
            <w:tcW w:w="16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基本支出</w:t>
            </w:r>
          </w:p>
        </w:tc>
        <w:tc>
          <w:tcPr>
            <w:tcW w:w="161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项目支出</w:t>
            </w:r>
          </w:p>
        </w:tc>
        <w:tc>
          <w:tcPr>
            <w:tcW w:w="16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560" w:hRule="atLeast"/>
        </w:trPr>
        <w:tc>
          <w:tcPr>
            <w:tcW w:w="125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3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600" w:hRule="atLeast"/>
        </w:trPr>
        <w:tc>
          <w:tcPr>
            <w:tcW w:w="1250"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326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9"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16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trPr>
        <w:tc>
          <w:tcPr>
            <w:tcW w:w="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类</w:t>
            </w:r>
          </w:p>
        </w:tc>
        <w:tc>
          <w:tcPr>
            <w:tcW w:w="41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款</w:t>
            </w:r>
          </w:p>
        </w:tc>
        <w:tc>
          <w:tcPr>
            <w:tcW w:w="41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项</w:t>
            </w:r>
          </w:p>
        </w:tc>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栏次</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1</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2</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3</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4</w:t>
            </w:r>
          </w:p>
        </w:tc>
        <w:tc>
          <w:tcPr>
            <w:tcW w:w="16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5</w:t>
            </w:r>
          </w:p>
        </w:tc>
        <w:tc>
          <w:tcPr>
            <w:tcW w:w="1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6</w:t>
            </w:r>
          </w:p>
        </w:tc>
      </w:tr>
      <w:tr>
        <w:tblPrEx>
          <w:tblLayout w:type="fixed"/>
          <w:tblCellMar>
            <w:top w:w="0" w:type="dxa"/>
            <w:left w:w="108" w:type="dxa"/>
            <w:bottom w:w="0" w:type="dxa"/>
            <w:right w:w="108" w:type="dxa"/>
          </w:tblCellMar>
        </w:tblPrEx>
        <w:trPr>
          <w:trHeight w:val="300" w:hRule="atLeast"/>
        </w:trPr>
        <w:tc>
          <w:tcPr>
            <w:tcW w:w="4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41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416"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3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合计</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00" w:hRule="atLeast"/>
        </w:trPr>
        <w:tc>
          <w:tcPr>
            <w:tcW w:w="1250"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　</w:t>
            </w:r>
          </w:p>
        </w:tc>
        <w:tc>
          <w:tcPr>
            <w:tcW w:w="326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　</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9"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1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r>
    </w:tbl>
    <w:p>
      <w:pPr>
        <w:spacing w:line="560" w:lineRule="exact"/>
        <w:sectPr>
          <w:pgSz w:w="16838" w:h="11906" w:orient="landscape"/>
          <w:pgMar w:top="1418" w:right="1418" w:bottom="1418" w:left="1418" w:header="851" w:footer="992" w:gutter="0"/>
          <w:cols w:space="720" w:num="1"/>
          <w:docGrid w:linePitch="312" w:charSpace="0"/>
        </w:sectPr>
      </w:pPr>
    </w:p>
    <w:p>
      <w:pPr>
        <w:spacing w:line="560" w:lineRule="exact"/>
        <w:rPr>
          <w:sz w:val="30"/>
          <w:szCs w:val="30"/>
        </w:rPr>
      </w:pPr>
      <w:r>
        <w:rPr>
          <w:rFonts w:hint="eastAsia"/>
          <w:sz w:val="30"/>
          <w:szCs w:val="30"/>
        </w:rPr>
        <w:t>表8：</w:t>
      </w:r>
    </w:p>
    <w:p>
      <w:pPr>
        <w:spacing w:line="560" w:lineRule="exact"/>
        <w:jc w:val="center"/>
        <w:rPr>
          <w:rFonts w:ascii="黑体" w:hAnsi="宋体" w:eastAsia="黑体" w:cs="黑体"/>
          <w:color w:val="000000"/>
          <w:kern w:val="0"/>
          <w:sz w:val="36"/>
          <w:szCs w:val="36"/>
        </w:rPr>
      </w:pPr>
      <w:r>
        <w:rPr>
          <w:rFonts w:hint="eastAsia" w:ascii="黑体" w:hAnsi="宋体" w:eastAsia="黑体" w:cs="黑体"/>
          <w:color w:val="000000"/>
          <w:kern w:val="0"/>
          <w:sz w:val="36"/>
          <w:szCs w:val="36"/>
        </w:rPr>
        <w:t>2021年政府性基金预算财政拨款基本支出决算表</w:t>
      </w:r>
    </w:p>
    <w:p>
      <w:pPr>
        <w:spacing w:line="560" w:lineRule="exact"/>
        <w:jc w:val="center"/>
        <w:rPr>
          <w:rFonts w:ascii="黑体" w:hAnsi="宋体" w:eastAsia="黑体" w:cs="黑体"/>
          <w:color w:val="000000"/>
          <w:kern w:val="0"/>
          <w:sz w:val="24"/>
        </w:rPr>
      </w:pPr>
      <w:r>
        <w:rPr>
          <w:rFonts w:hint="eastAsia" w:ascii="黑体" w:hAnsi="宋体" w:eastAsia="黑体" w:cs="黑体"/>
          <w:color w:val="000000"/>
          <w:kern w:val="0"/>
          <w:sz w:val="24"/>
        </w:rPr>
        <w:t>（不属于此项支出统计范围）</w:t>
      </w:r>
    </w:p>
    <w:tbl>
      <w:tblPr>
        <w:tblStyle w:val="5"/>
        <w:tblW w:w="14218" w:type="dxa"/>
        <w:tblInd w:w="0" w:type="dxa"/>
        <w:tblLayout w:type="fixed"/>
        <w:tblCellMar>
          <w:top w:w="0" w:type="dxa"/>
          <w:left w:w="108" w:type="dxa"/>
          <w:bottom w:w="0" w:type="dxa"/>
          <w:right w:w="108" w:type="dxa"/>
        </w:tblCellMar>
      </w:tblPr>
      <w:tblGrid>
        <w:gridCol w:w="4188"/>
        <w:gridCol w:w="816"/>
        <w:gridCol w:w="2328"/>
        <w:gridCol w:w="816"/>
        <w:gridCol w:w="4654"/>
        <w:gridCol w:w="1416"/>
      </w:tblGrid>
      <w:tr>
        <w:tblPrEx>
          <w:tblLayout w:type="fixed"/>
          <w:tblCellMar>
            <w:top w:w="0" w:type="dxa"/>
            <w:left w:w="108" w:type="dxa"/>
            <w:bottom w:w="0" w:type="dxa"/>
            <w:right w:w="108" w:type="dxa"/>
          </w:tblCellMar>
        </w:tblPrEx>
        <w:trPr>
          <w:trHeight w:val="300" w:hRule="atLeast"/>
        </w:trPr>
        <w:tc>
          <w:tcPr>
            <w:tcW w:w="4188" w:type="dxa"/>
            <w:tcBorders>
              <w:top w:val="nil"/>
              <w:left w:val="nil"/>
              <w:bottom w:val="single" w:color="auto" w:sz="4" w:space="0"/>
              <w:right w:val="nil"/>
            </w:tcBorders>
            <w:shd w:val="clear" w:color="auto" w:fill="auto"/>
            <w:noWrap/>
            <w:vAlign w:val="center"/>
          </w:tcPr>
          <w:p>
            <w:pPr>
              <w:widowControl/>
              <w:spacing w:line="560" w:lineRule="exact"/>
              <w:jc w:val="left"/>
              <w:rPr>
                <w:rFonts w:cs="Arial" w:asciiTheme="minorEastAsia" w:hAnsiTheme="minorEastAsia" w:eastAsiaTheme="minorEastAsia"/>
                <w:kern w:val="0"/>
                <w:sz w:val="24"/>
              </w:rPr>
            </w:pPr>
            <w:r>
              <w:rPr>
                <w:rFonts w:hint="eastAsia" w:cs="Arial" w:asciiTheme="minorEastAsia" w:hAnsiTheme="minorEastAsia" w:eastAsiaTheme="minorEastAsia"/>
                <w:kern w:val="0"/>
                <w:sz w:val="24"/>
              </w:rPr>
              <w:t>单位名称：北京市西城区文物管理处</w:t>
            </w:r>
          </w:p>
        </w:tc>
        <w:tc>
          <w:tcPr>
            <w:tcW w:w="816" w:type="dxa"/>
            <w:tcBorders>
              <w:top w:val="nil"/>
              <w:left w:val="nil"/>
              <w:bottom w:val="single" w:color="auto" w:sz="4" w:space="0"/>
              <w:right w:val="nil"/>
            </w:tcBorders>
            <w:shd w:val="clear" w:color="auto" w:fill="auto"/>
            <w:noWrap/>
            <w:vAlign w:val="center"/>
          </w:tcPr>
          <w:p>
            <w:pPr>
              <w:widowControl/>
              <w:spacing w:line="560" w:lineRule="exact"/>
              <w:jc w:val="left"/>
              <w:rPr>
                <w:rFonts w:cs="Arial" w:asciiTheme="minorEastAsia" w:hAnsiTheme="minorEastAsia" w:eastAsiaTheme="minorEastAsia"/>
                <w:kern w:val="0"/>
                <w:sz w:val="24"/>
              </w:rPr>
            </w:pPr>
            <w:r>
              <w:rPr>
                <w:rFonts w:hint="eastAsia" w:cs="Arial" w:asciiTheme="minorEastAsia" w:hAnsiTheme="minorEastAsia" w:eastAsiaTheme="minorEastAsia"/>
                <w:kern w:val="0"/>
                <w:sz w:val="24"/>
              </w:rPr>
              <w:t>　</w:t>
            </w:r>
          </w:p>
        </w:tc>
        <w:tc>
          <w:tcPr>
            <w:tcW w:w="2328" w:type="dxa"/>
            <w:tcBorders>
              <w:top w:val="nil"/>
              <w:left w:val="nil"/>
              <w:bottom w:val="single" w:color="auto" w:sz="4" w:space="0"/>
              <w:right w:val="nil"/>
            </w:tcBorders>
            <w:shd w:val="clear" w:color="auto" w:fill="auto"/>
            <w:noWrap/>
            <w:vAlign w:val="center"/>
          </w:tcPr>
          <w:p>
            <w:pPr>
              <w:widowControl/>
              <w:spacing w:line="560" w:lineRule="exact"/>
              <w:jc w:val="center"/>
              <w:rPr>
                <w:rFonts w:cs="Arial" w:asciiTheme="minorEastAsia" w:hAnsiTheme="minorEastAsia" w:eastAsiaTheme="minorEastAsia"/>
                <w:kern w:val="0"/>
                <w:sz w:val="24"/>
              </w:rPr>
            </w:pPr>
            <w:r>
              <w:rPr>
                <w:rFonts w:hint="eastAsia" w:cs="Arial" w:asciiTheme="minorEastAsia" w:hAnsiTheme="minorEastAsia" w:eastAsiaTheme="minorEastAsia"/>
                <w:kern w:val="0"/>
                <w:sz w:val="24"/>
              </w:rPr>
              <w:t>　</w:t>
            </w:r>
          </w:p>
        </w:tc>
        <w:tc>
          <w:tcPr>
            <w:tcW w:w="816" w:type="dxa"/>
            <w:tcBorders>
              <w:top w:val="nil"/>
              <w:left w:val="nil"/>
              <w:bottom w:val="single" w:color="auto" w:sz="4" w:space="0"/>
              <w:right w:val="nil"/>
            </w:tcBorders>
            <w:shd w:val="clear" w:color="auto" w:fill="auto"/>
            <w:noWrap/>
            <w:vAlign w:val="center"/>
          </w:tcPr>
          <w:p>
            <w:pPr>
              <w:widowControl/>
              <w:spacing w:line="560" w:lineRule="exact"/>
              <w:jc w:val="left"/>
              <w:rPr>
                <w:rFonts w:cs="Arial" w:asciiTheme="minorEastAsia" w:hAnsiTheme="minorEastAsia" w:eastAsiaTheme="minorEastAsia"/>
                <w:kern w:val="0"/>
                <w:sz w:val="24"/>
              </w:rPr>
            </w:pPr>
            <w:r>
              <w:rPr>
                <w:rFonts w:hint="eastAsia" w:cs="Arial" w:asciiTheme="minorEastAsia" w:hAnsiTheme="minorEastAsia" w:eastAsiaTheme="minorEastAsia"/>
                <w:kern w:val="0"/>
                <w:sz w:val="24"/>
              </w:rPr>
              <w:t>　</w:t>
            </w:r>
          </w:p>
        </w:tc>
        <w:tc>
          <w:tcPr>
            <w:tcW w:w="4654" w:type="dxa"/>
            <w:tcBorders>
              <w:top w:val="nil"/>
              <w:left w:val="nil"/>
              <w:bottom w:val="single" w:color="auto" w:sz="4" w:space="0"/>
              <w:right w:val="nil"/>
            </w:tcBorders>
            <w:shd w:val="clear" w:color="auto" w:fill="auto"/>
            <w:noWrap/>
            <w:vAlign w:val="center"/>
          </w:tcPr>
          <w:p>
            <w:pPr>
              <w:widowControl/>
              <w:spacing w:line="560" w:lineRule="exact"/>
              <w:jc w:val="left"/>
              <w:rPr>
                <w:rFonts w:cs="Arial" w:asciiTheme="minorEastAsia" w:hAnsiTheme="minorEastAsia" w:eastAsiaTheme="minorEastAsia"/>
                <w:kern w:val="0"/>
                <w:sz w:val="24"/>
              </w:rPr>
            </w:pPr>
            <w:r>
              <w:rPr>
                <w:rFonts w:hint="eastAsia" w:cs="Arial" w:asciiTheme="minorEastAsia" w:hAnsiTheme="minorEastAsia" w:eastAsiaTheme="minorEastAsia"/>
                <w:kern w:val="0"/>
                <w:sz w:val="24"/>
              </w:rPr>
              <w:t>　</w:t>
            </w:r>
          </w:p>
        </w:tc>
        <w:tc>
          <w:tcPr>
            <w:tcW w:w="1416" w:type="dxa"/>
            <w:tcBorders>
              <w:top w:val="nil"/>
              <w:left w:val="nil"/>
              <w:bottom w:val="single" w:color="auto" w:sz="4" w:space="0"/>
              <w:right w:val="nil"/>
            </w:tcBorders>
            <w:shd w:val="clear" w:color="auto" w:fill="auto"/>
            <w:noWrap/>
            <w:vAlign w:val="center"/>
          </w:tcPr>
          <w:p>
            <w:pPr>
              <w:widowControl/>
              <w:spacing w:line="560" w:lineRule="exact"/>
              <w:jc w:val="right"/>
              <w:rPr>
                <w:rFonts w:cs="Arial" w:asciiTheme="minorEastAsia" w:hAnsiTheme="minorEastAsia" w:eastAsiaTheme="minorEastAsia"/>
                <w:kern w:val="0"/>
                <w:sz w:val="24"/>
              </w:rPr>
            </w:pPr>
            <w:r>
              <w:rPr>
                <w:rFonts w:hint="eastAsia" w:cs="Arial" w:asciiTheme="minorEastAsia" w:hAnsiTheme="minorEastAsia" w:eastAsiaTheme="minorEastAsia"/>
                <w:kern w:val="0"/>
                <w:sz w:val="24"/>
              </w:rPr>
              <w:t>单位：万元</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科目名称</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决算数</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科目名称</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决算数</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科目名称</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决算数</w:t>
            </w:r>
          </w:p>
        </w:tc>
      </w:tr>
      <w:tr>
        <w:tblPrEx>
          <w:tblLayout w:type="fixed"/>
          <w:tblCellMar>
            <w:top w:w="0" w:type="dxa"/>
            <w:left w:w="108" w:type="dxa"/>
            <w:bottom w:w="0" w:type="dxa"/>
            <w:right w:w="108" w:type="dxa"/>
          </w:tblCellMar>
        </w:tblPrEx>
        <w:trPr>
          <w:trHeight w:val="175"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工资福利支出</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商品和服务支出</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资本性支出</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179"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基本工资</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办公费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房屋建筑物购建</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津贴补贴</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印刷费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办公设备购置</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245"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奖金</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咨询费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专用设备购置</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伙食补助费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手续费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基础设施建设</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绩效工资</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水费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大型修缮</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机关事业单位基本养老保险缴费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电费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信息网络及软件购置更新</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职业年金缴费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邮电费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物资储备</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职工基本医疗保险缴费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取暖费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土地补偿</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公务员医疗补助缴费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物业管理费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安置补助</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其他社会保障缴费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差旅费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地上附着物和青苗补偿</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住房公积金</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因公出国（境）费用</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拆迁补偿</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医疗费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维修（护）费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公务用车购置</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其他工资福利支出</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租赁费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其他交通工具购置</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对个人和家庭的补助</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会议费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文物和陈列品购置</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离休费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培训费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无形资产购置</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退休费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公务接待费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其他资本性支出</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退职（役）费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专用材料费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对企业补助</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抚恤金</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被装购置费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资本金注入</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生活补助</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专用燃料费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政府投资基金股权投资</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救济费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劳务费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费用补贴</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医疗费补助</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委托业务费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利息补贴</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助学金</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工会经费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其他对企业补助</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奖励金</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福利费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其他支出</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个人农业生产补贴</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公务用车运行维护费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赠与</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代缴社会保险费</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其他交通费用</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国家赔偿费用支出</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其他对个人和家庭的补助</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税金及附加费用</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对民间非营利组织和群众性自治组织补贴</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其他商品和服务支出</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其他支出</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债务利息及费用支出</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国内债务付息</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国外债务付息</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国内债务发行费用</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232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xml:space="preserve">  国外债务发行费用</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4654"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360" w:hRule="atLeast"/>
        </w:trPr>
        <w:tc>
          <w:tcPr>
            <w:tcW w:w="4188"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人员经费合计</w:t>
            </w:r>
          </w:p>
        </w:tc>
        <w:tc>
          <w:tcPr>
            <w:tcW w:w="8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c>
          <w:tcPr>
            <w:tcW w:w="779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公用经费合计</w:t>
            </w:r>
          </w:p>
        </w:tc>
        <w:tc>
          <w:tcPr>
            <w:tcW w:w="1416"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cs="Arial" w:asciiTheme="minorEastAsia" w:hAnsiTheme="minorEastAsia" w:eastAsiaTheme="minorEastAsia"/>
                <w:kern w:val="0"/>
                <w:sz w:val="20"/>
                <w:szCs w:val="20"/>
              </w:rPr>
            </w:pPr>
            <w:r>
              <w:rPr>
                <w:rFonts w:hint="eastAsia" w:cs="Arial" w:asciiTheme="minorEastAsia" w:hAnsiTheme="minorEastAsia" w:eastAsiaTheme="minorEastAsia"/>
                <w:kern w:val="0"/>
                <w:sz w:val="20"/>
                <w:szCs w:val="20"/>
              </w:rPr>
              <w:t>　</w:t>
            </w:r>
          </w:p>
        </w:tc>
      </w:tr>
    </w:tbl>
    <w:p>
      <w:pPr>
        <w:widowControl/>
        <w:spacing w:line="560" w:lineRule="exact"/>
        <w:rPr>
          <w:rFonts w:ascii="黑体" w:hAnsi="黑体" w:eastAsia="黑体" w:cs="Arial"/>
          <w:kern w:val="0"/>
          <w:sz w:val="44"/>
          <w:szCs w:val="44"/>
        </w:rPr>
        <w:sectPr>
          <w:pgSz w:w="16838" w:h="11906" w:orient="landscape"/>
          <w:pgMar w:top="1418" w:right="1418" w:bottom="1418" w:left="1418" w:header="851" w:footer="992" w:gutter="0"/>
          <w:cols w:space="720" w:num="1"/>
          <w:docGrid w:linePitch="312" w:charSpace="0"/>
        </w:sectPr>
      </w:pPr>
    </w:p>
    <w:p>
      <w:pPr>
        <w:spacing w:line="560" w:lineRule="exact"/>
        <w:rPr>
          <w:sz w:val="30"/>
          <w:szCs w:val="30"/>
        </w:rPr>
      </w:pPr>
      <w:r>
        <w:rPr>
          <w:rFonts w:hint="eastAsia"/>
          <w:sz w:val="30"/>
          <w:szCs w:val="30"/>
        </w:rPr>
        <w:t>表9：</w:t>
      </w:r>
    </w:p>
    <w:p>
      <w:pPr>
        <w:widowControl/>
        <w:spacing w:line="560" w:lineRule="exact"/>
        <w:jc w:val="center"/>
        <w:rPr>
          <w:rFonts w:ascii="黑体" w:hAnsi="黑体" w:eastAsia="黑体" w:cs="Arial"/>
          <w:color w:val="000000"/>
          <w:kern w:val="0"/>
          <w:sz w:val="36"/>
          <w:szCs w:val="36"/>
        </w:rPr>
      </w:pPr>
      <w:r>
        <w:rPr>
          <w:rFonts w:hint="eastAsia" w:ascii="黑体" w:hAnsi="黑体" w:eastAsia="黑体" w:cs="Arial"/>
          <w:color w:val="000000"/>
          <w:kern w:val="0"/>
          <w:sz w:val="36"/>
          <w:szCs w:val="36"/>
        </w:rPr>
        <w:t>2021年国有资本经营预算财政拨款支出决算表</w:t>
      </w:r>
    </w:p>
    <w:p>
      <w:pPr>
        <w:spacing w:line="560" w:lineRule="exact"/>
        <w:jc w:val="center"/>
        <w:rPr>
          <w:rFonts w:ascii="黑体" w:hAnsi="宋体" w:eastAsia="黑体" w:cs="黑体"/>
          <w:color w:val="000000"/>
          <w:kern w:val="0"/>
          <w:sz w:val="24"/>
        </w:rPr>
      </w:pPr>
      <w:r>
        <w:rPr>
          <w:rFonts w:hint="eastAsia" w:ascii="黑体" w:hAnsi="宋体" w:eastAsia="黑体" w:cs="黑体"/>
          <w:color w:val="000000"/>
          <w:kern w:val="0"/>
          <w:sz w:val="24"/>
        </w:rPr>
        <w:t>（不属于此项支出统计范围）</w:t>
      </w:r>
    </w:p>
    <w:tbl>
      <w:tblPr>
        <w:tblStyle w:val="5"/>
        <w:tblW w:w="14218" w:type="dxa"/>
        <w:jc w:val="center"/>
        <w:tblInd w:w="0" w:type="dxa"/>
        <w:tblLayout w:type="fixed"/>
        <w:tblCellMar>
          <w:top w:w="0" w:type="dxa"/>
          <w:left w:w="108" w:type="dxa"/>
          <w:bottom w:w="0" w:type="dxa"/>
          <w:right w:w="108" w:type="dxa"/>
        </w:tblCellMar>
      </w:tblPr>
      <w:tblGrid>
        <w:gridCol w:w="520"/>
        <w:gridCol w:w="520"/>
        <w:gridCol w:w="523"/>
        <w:gridCol w:w="5062"/>
        <w:gridCol w:w="2531"/>
        <w:gridCol w:w="2531"/>
        <w:gridCol w:w="2531"/>
      </w:tblGrid>
      <w:tr>
        <w:tblPrEx>
          <w:tblLayout w:type="fixed"/>
          <w:tblCellMar>
            <w:top w:w="0" w:type="dxa"/>
            <w:left w:w="108" w:type="dxa"/>
            <w:bottom w:w="0" w:type="dxa"/>
            <w:right w:w="108" w:type="dxa"/>
          </w:tblCellMar>
        </w:tblPrEx>
        <w:trPr>
          <w:trHeight w:val="300" w:hRule="atLeast"/>
          <w:jc w:val="center"/>
        </w:trPr>
        <w:tc>
          <w:tcPr>
            <w:tcW w:w="6625" w:type="dxa"/>
            <w:gridSpan w:val="4"/>
            <w:tcBorders>
              <w:top w:val="nil"/>
              <w:left w:val="nil"/>
              <w:bottom w:val="single" w:color="auto" w:sz="4" w:space="0"/>
              <w:right w:val="nil"/>
            </w:tcBorders>
            <w:shd w:val="clear" w:color="auto" w:fill="auto"/>
            <w:noWrap/>
            <w:vAlign w:val="center"/>
          </w:tcPr>
          <w:p>
            <w:pPr>
              <w:widowControl/>
              <w:spacing w:line="560" w:lineRule="exact"/>
              <w:jc w:val="left"/>
              <w:rPr>
                <w:rFonts w:ascii="宋体" w:hAnsi="宋体" w:cs="Arial"/>
                <w:color w:val="000000"/>
                <w:kern w:val="0"/>
                <w:sz w:val="24"/>
              </w:rPr>
            </w:pPr>
            <w:r>
              <w:rPr>
                <w:rFonts w:hint="eastAsia" w:ascii="宋体" w:hAnsi="宋体" w:cs="Arial"/>
                <w:color w:val="000000"/>
                <w:kern w:val="0"/>
                <w:sz w:val="24"/>
              </w:rPr>
              <w:t>单位名称：北京市西城区文物管理处</w:t>
            </w:r>
          </w:p>
        </w:tc>
        <w:tc>
          <w:tcPr>
            <w:tcW w:w="2531" w:type="dxa"/>
            <w:tcBorders>
              <w:top w:val="nil"/>
              <w:left w:val="nil"/>
              <w:bottom w:val="single" w:color="auto" w:sz="4" w:space="0"/>
              <w:right w:val="nil"/>
            </w:tcBorders>
            <w:shd w:val="clear" w:color="auto" w:fill="auto"/>
            <w:noWrap/>
            <w:vAlign w:val="center"/>
          </w:tcPr>
          <w:p>
            <w:pPr>
              <w:widowControl/>
              <w:spacing w:line="560" w:lineRule="exact"/>
              <w:jc w:val="left"/>
              <w:rPr>
                <w:rFonts w:ascii="宋体" w:hAnsi="宋体" w:cs="Arial"/>
                <w:kern w:val="0"/>
                <w:sz w:val="18"/>
                <w:szCs w:val="18"/>
              </w:rPr>
            </w:pPr>
            <w:r>
              <w:rPr>
                <w:rFonts w:hint="eastAsia" w:ascii="宋体" w:hAnsi="宋体" w:cs="Arial"/>
                <w:kern w:val="0"/>
                <w:sz w:val="18"/>
                <w:szCs w:val="18"/>
              </w:rPr>
              <w:t>　</w:t>
            </w:r>
          </w:p>
        </w:tc>
        <w:tc>
          <w:tcPr>
            <w:tcW w:w="2531" w:type="dxa"/>
            <w:tcBorders>
              <w:top w:val="nil"/>
              <w:left w:val="nil"/>
              <w:bottom w:val="single" w:color="auto" w:sz="4" w:space="0"/>
              <w:right w:val="nil"/>
            </w:tcBorders>
            <w:shd w:val="clear" w:color="auto" w:fill="auto"/>
            <w:noWrap/>
            <w:vAlign w:val="center"/>
          </w:tcPr>
          <w:p>
            <w:pPr>
              <w:widowControl/>
              <w:spacing w:line="560" w:lineRule="exact"/>
              <w:jc w:val="left"/>
              <w:rPr>
                <w:rFonts w:ascii="宋体" w:hAnsi="宋体" w:cs="Arial"/>
                <w:kern w:val="0"/>
                <w:sz w:val="18"/>
                <w:szCs w:val="18"/>
              </w:rPr>
            </w:pPr>
            <w:r>
              <w:rPr>
                <w:rFonts w:hint="eastAsia" w:ascii="宋体" w:hAnsi="宋体" w:cs="Arial"/>
                <w:kern w:val="0"/>
                <w:sz w:val="18"/>
                <w:szCs w:val="18"/>
              </w:rPr>
              <w:t>　</w:t>
            </w:r>
          </w:p>
        </w:tc>
        <w:tc>
          <w:tcPr>
            <w:tcW w:w="2531" w:type="dxa"/>
            <w:tcBorders>
              <w:top w:val="nil"/>
              <w:left w:val="nil"/>
              <w:bottom w:val="single" w:color="auto" w:sz="4" w:space="0"/>
              <w:right w:val="nil"/>
            </w:tcBorders>
            <w:shd w:val="clear" w:color="auto" w:fill="auto"/>
            <w:noWrap/>
            <w:vAlign w:val="center"/>
          </w:tcPr>
          <w:p>
            <w:pPr>
              <w:widowControl/>
              <w:spacing w:line="560" w:lineRule="exact"/>
              <w:jc w:val="right"/>
              <w:rPr>
                <w:rFonts w:ascii="宋体" w:hAnsi="宋体" w:cs="Arial"/>
                <w:color w:val="000000"/>
                <w:kern w:val="0"/>
                <w:sz w:val="24"/>
              </w:rPr>
            </w:pPr>
            <w:r>
              <w:rPr>
                <w:rFonts w:hint="eastAsia" w:ascii="宋体" w:hAnsi="宋体" w:cs="Arial"/>
                <w:color w:val="000000"/>
                <w:kern w:val="0"/>
                <w:sz w:val="24"/>
              </w:rPr>
              <w:t>单位：万元</w:t>
            </w:r>
          </w:p>
        </w:tc>
      </w:tr>
      <w:tr>
        <w:tblPrEx>
          <w:tblLayout w:type="fixed"/>
          <w:tblCellMar>
            <w:top w:w="0" w:type="dxa"/>
            <w:left w:w="108" w:type="dxa"/>
            <w:bottom w:w="0" w:type="dxa"/>
            <w:right w:w="108" w:type="dxa"/>
          </w:tblCellMar>
        </w:tblPrEx>
        <w:trPr>
          <w:trHeight w:val="300" w:hRule="atLeast"/>
          <w:jc w:val="center"/>
        </w:trPr>
        <w:tc>
          <w:tcPr>
            <w:tcW w:w="6625"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项目</w:t>
            </w:r>
          </w:p>
        </w:tc>
        <w:tc>
          <w:tcPr>
            <w:tcW w:w="7593"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2020年度决算数</w:t>
            </w:r>
          </w:p>
        </w:tc>
      </w:tr>
      <w:tr>
        <w:tblPrEx>
          <w:tblLayout w:type="fixed"/>
          <w:tblCellMar>
            <w:top w:w="0" w:type="dxa"/>
            <w:left w:w="108" w:type="dxa"/>
            <w:bottom w:w="0" w:type="dxa"/>
            <w:right w:w="108" w:type="dxa"/>
          </w:tblCellMar>
        </w:tblPrEx>
        <w:trPr>
          <w:trHeight w:val="560" w:hRule="atLeast"/>
          <w:jc w:val="center"/>
        </w:trPr>
        <w:tc>
          <w:tcPr>
            <w:tcW w:w="1563"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支出功能分类科目编码</w:t>
            </w:r>
          </w:p>
        </w:tc>
        <w:tc>
          <w:tcPr>
            <w:tcW w:w="506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科目名称</w:t>
            </w:r>
          </w:p>
        </w:tc>
        <w:tc>
          <w:tcPr>
            <w:tcW w:w="25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合计</w:t>
            </w:r>
          </w:p>
        </w:tc>
        <w:tc>
          <w:tcPr>
            <w:tcW w:w="25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基本支出</w:t>
            </w:r>
          </w:p>
        </w:tc>
        <w:tc>
          <w:tcPr>
            <w:tcW w:w="25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项目支出</w:t>
            </w:r>
          </w:p>
        </w:tc>
      </w:tr>
      <w:tr>
        <w:tblPrEx>
          <w:tblLayout w:type="fixed"/>
          <w:tblCellMar>
            <w:top w:w="0" w:type="dxa"/>
            <w:left w:w="108" w:type="dxa"/>
            <w:bottom w:w="0" w:type="dxa"/>
            <w:right w:w="108" w:type="dxa"/>
          </w:tblCellMar>
        </w:tblPrEx>
        <w:trPr>
          <w:trHeight w:val="560" w:hRule="atLeast"/>
          <w:jc w:val="center"/>
        </w:trPr>
        <w:tc>
          <w:tcPr>
            <w:tcW w:w="1563"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50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2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2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2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600" w:hRule="atLeast"/>
          <w:jc w:val="center"/>
        </w:trPr>
        <w:tc>
          <w:tcPr>
            <w:tcW w:w="1563" w:type="dxa"/>
            <w:gridSpan w:val="3"/>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506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2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2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25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300" w:hRule="atLeast"/>
          <w:jc w:val="center"/>
        </w:trPr>
        <w:tc>
          <w:tcPr>
            <w:tcW w:w="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类</w:t>
            </w:r>
          </w:p>
        </w:tc>
        <w:tc>
          <w:tcPr>
            <w:tcW w:w="52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款</w:t>
            </w:r>
          </w:p>
        </w:tc>
        <w:tc>
          <w:tcPr>
            <w:tcW w:w="5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项</w:t>
            </w:r>
          </w:p>
        </w:tc>
        <w:tc>
          <w:tcPr>
            <w:tcW w:w="5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栏次</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1</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2</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3</w:t>
            </w:r>
          </w:p>
        </w:tc>
      </w:tr>
      <w:tr>
        <w:tblPrEx>
          <w:tblLayout w:type="fixed"/>
          <w:tblCellMar>
            <w:top w:w="0" w:type="dxa"/>
            <w:left w:w="108" w:type="dxa"/>
            <w:bottom w:w="0" w:type="dxa"/>
            <w:right w:w="108" w:type="dxa"/>
          </w:tblCellMar>
        </w:tblPrEx>
        <w:trPr>
          <w:trHeight w:val="300" w:hRule="atLeast"/>
          <w:jc w:val="center"/>
        </w:trPr>
        <w:tc>
          <w:tcPr>
            <w:tcW w:w="5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52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left"/>
              <w:rPr>
                <w:rFonts w:ascii="宋体" w:hAnsi="宋体" w:cs="Arial"/>
                <w:kern w:val="0"/>
                <w:sz w:val="20"/>
                <w:szCs w:val="20"/>
              </w:rPr>
            </w:pPr>
          </w:p>
        </w:tc>
        <w:tc>
          <w:tcPr>
            <w:tcW w:w="506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合计</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00" w:hRule="atLeast"/>
          <w:jc w:val="center"/>
        </w:trPr>
        <w:tc>
          <w:tcPr>
            <w:tcW w:w="1563"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　</w:t>
            </w:r>
          </w:p>
        </w:tc>
        <w:tc>
          <w:tcPr>
            <w:tcW w:w="506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　</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253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r>
    </w:tbl>
    <w:p>
      <w:pPr>
        <w:spacing w:line="560" w:lineRule="exact"/>
      </w:pPr>
    </w:p>
    <w:p>
      <w:pPr>
        <w:spacing w:line="560" w:lineRule="exact"/>
      </w:pPr>
    </w:p>
    <w:p>
      <w:pPr>
        <w:spacing w:line="560" w:lineRule="exact"/>
      </w:pPr>
    </w:p>
    <w:p>
      <w:pPr>
        <w:spacing w:line="560" w:lineRule="exact"/>
      </w:pPr>
    </w:p>
    <w:p>
      <w:pPr>
        <w:spacing w:line="560" w:lineRule="exact"/>
        <w:rPr>
          <w:sz w:val="30"/>
          <w:szCs w:val="30"/>
        </w:rPr>
      </w:pPr>
      <w:r>
        <w:rPr>
          <w:rFonts w:hint="eastAsia"/>
          <w:sz w:val="30"/>
          <w:szCs w:val="30"/>
        </w:rPr>
        <w:t>表10：</w:t>
      </w:r>
    </w:p>
    <w:p>
      <w:pPr>
        <w:spacing w:line="560" w:lineRule="exact"/>
        <w:jc w:val="center"/>
        <w:rPr>
          <w:rFonts w:ascii="黑体" w:hAnsi="黑体" w:eastAsia="黑体"/>
          <w:sz w:val="36"/>
          <w:szCs w:val="36"/>
        </w:rPr>
      </w:pPr>
      <w:r>
        <w:rPr>
          <w:rFonts w:hint="eastAsia" w:ascii="黑体" w:hAnsi="黑体" w:eastAsia="黑体"/>
          <w:sz w:val="36"/>
          <w:szCs w:val="36"/>
        </w:rPr>
        <w:t>2021年财政拨款"三公"经费支出决算表</w:t>
      </w:r>
    </w:p>
    <w:p>
      <w:pPr>
        <w:spacing w:line="560" w:lineRule="exact"/>
        <w:jc w:val="center"/>
        <w:rPr>
          <w:rFonts w:ascii="黑体" w:hAnsi="宋体" w:eastAsia="黑体" w:cs="黑体"/>
          <w:color w:val="000000"/>
          <w:kern w:val="0"/>
          <w:sz w:val="24"/>
        </w:rPr>
      </w:pPr>
      <w:r>
        <w:rPr>
          <w:rFonts w:hint="eastAsia" w:ascii="黑体" w:hAnsi="宋体" w:eastAsia="黑体" w:cs="黑体"/>
          <w:color w:val="000000"/>
          <w:kern w:val="0"/>
          <w:sz w:val="24"/>
        </w:rPr>
        <w:t>（无此项支出）</w:t>
      </w:r>
    </w:p>
    <w:tbl>
      <w:tblPr>
        <w:tblStyle w:val="5"/>
        <w:tblW w:w="14218" w:type="dxa"/>
        <w:tblInd w:w="0" w:type="dxa"/>
        <w:tblLayout w:type="fixed"/>
        <w:tblCellMar>
          <w:top w:w="0" w:type="dxa"/>
          <w:left w:w="108" w:type="dxa"/>
          <w:bottom w:w="0" w:type="dxa"/>
          <w:right w:w="108" w:type="dxa"/>
        </w:tblCellMar>
      </w:tblPr>
      <w:tblGrid>
        <w:gridCol w:w="1847"/>
        <w:gridCol w:w="1891"/>
        <w:gridCol w:w="1550"/>
        <w:gridCol w:w="1288"/>
        <w:gridCol w:w="1674"/>
        <w:gridCol w:w="617"/>
        <w:gridCol w:w="1418"/>
        <w:gridCol w:w="1418"/>
        <w:gridCol w:w="1418"/>
        <w:gridCol w:w="1097"/>
      </w:tblGrid>
      <w:tr>
        <w:tblPrEx>
          <w:tblLayout w:type="fixed"/>
          <w:tblCellMar>
            <w:top w:w="0" w:type="dxa"/>
            <w:left w:w="108" w:type="dxa"/>
            <w:bottom w:w="0" w:type="dxa"/>
            <w:right w:w="108" w:type="dxa"/>
          </w:tblCellMar>
        </w:tblPrEx>
        <w:trPr>
          <w:trHeight w:val="300" w:hRule="atLeast"/>
        </w:trPr>
        <w:tc>
          <w:tcPr>
            <w:tcW w:w="14218" w:type="dxa"/>
            <w:gridSpan w:val="10"/>
            <w:tcBorders>
              <w:top w:val="nil"/>
              <w:left w:val="nil"/>
              <w:bottom w:val="single" w:color="000000" w:sz="4" w:space="0"/>
              <w:right w:val="nil"/>
            </w:tcBorders>
            <w:shd w:val="clear" w:color="000000" w:fill="auto"/>
            <w:noWrap/>
            <w:vAlign w:val="center"/>
          </w:tcPr>
          <w:p>
            <w:pPr>
              <w:widowControl/>
              <w:spacing w:line="560" w:lineRule="exact"/>
              <w:jc w:val="left"/>
              <w:rPr>
                <w:rFonts w:ascii="宋体" w:hAnsi="宋体" w:cs="Arial"/>
                <w:kern w:val="0"/>
                <w:sz w:val="24"/>
              </w:rPr>
            </w:pPr>
            <w:r>
              <w:rPr>
                <w:rFonts w:hint="eastAsia" w:ascii="宋体" w:hAnsi="宋体" w:cs="Arial"/>
                <w:kern w:val="0"/>
                <w:sz w:val="24"/>
              </w:rPr>
              <w:t>单位名称：北京市西城区文物管理处                                                                           单位：万元</w:t>
            </w:r>
          </w:p>
        </w:tc>
      </w:tr>
      <w:tr>
        <w:tblPrEx>
          <w:tblLayout w:type="fixed"/>
          <w:tblCellMar>
            <w:top w:w="0" w:type="dxa"/>
            <w:left w:w="108" w:type="dxa"/>
            <w:bottom w:w="0" w:type="dxa"/>
            <w:right w:w="108" w:type="dxa"/>
          </w:tblCellMar>
        </w:tblPrEx>
        <w:trPr>
          <w:trHeight w:val="420" w:hRule="atLeast"/>
        </w:trPr>
        <w:tc>
          <w:tcPr>
            <w:tcW w:w="1847" w:type="dxa"/>
            <w:vMerge w:val="restart"/>
            <w:tcBorders>
              <w:top w:val="single" w:color="000000" w:sz="4" w:space="0"/>
              <w:left w:val="single" w:color="000000" w:sz="4" w:space="0"/>
              <w:bottom w:val="single" w:color="000000" w:sz="4" w:space="0"/>
              <w:right w:val="single" w:color="000000" w:sz="6" w:space="0"/>
            </w:tcBorders>
            <w:shd w:val="clear" w:color="auto" w:fill="auto"/>
            <w:noWrap/>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　</w:t>
            </w:r>
          </w:p>
        </w:tc>
        <w:tc>
          <w:tcPr>
            <w:tcW w:w="1891" w:type="dxa"/>
            <w:vMerge w:val="restart"/>
            <w:tcBorders>
              <w:top w:val="single" w:color="000000" w:sz="4" w:space="0"/>
              <w:left w:val="single" w:color="000000" w:sz="6" w:space="0"/>
              <w:bottom w:val="single" w:color="000000" w:sz="4" w:space="0"/>
              <w:right w:val="single" w:color="000000" w:sz="6"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"三公"经费财政拨款决算合计</w:t>
            </w:r>
          </w:p>
        </w:tc>
        <w:tc>
          <w:tcPr>
            <w:tcW w:w="1550" w:type="dxa"/>
            <w:vMerge w:val="restart"/>
            <w:tcBorders>
              <w:top w:val="single" w:color="000000" w:sz="4" w:space="0"/>
              <w:left w:val="single" w:color="000000" w:sz="6" w:space="0"/>
              <w:bottom w:val="single" w:color="000000" w:sz="4" w:space="0"/>
              <w:right w:val="single" w:color="000000" w:sz="6"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因公出国（境）费用</w:t>
            </w:r>
          </w:p>
        </w:tc>
        <w:tc>
          <w:tcPr>
            <w:tcW w:w="1288" w:type="dxa"/>
            <w:vMerge w:val="restart"/>
            <w:tcBorders>
              <w:top w:val="single" w:color="000000" w:sz="4" w:space="0"/>
              <w:left w:val="single" w:color="000000" w:sz="6" w:space="0"/>
              <w:bottom w:val="single" w:color="000000" w:sz="4" w:space="0"/>
              <w:right w:val="single" w:color="000000" w:sz="6" w:space="0"/>
            </w:tcBorders>
            <w:shd w:val="clear" w:color="auto" w:fill="auto"/>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公务接待费</w:t>
            </w:r>
          </w:p>
        </w:tc>
        <w:tc>
          <w:tcPr>
            <w:tcW w:w="7642" w:type="dxa"/>
            <w:gridSpan w:val="6"/>
            <w:tcBorders>
              <w:top w:val="single" w:color="000000" w:sz="4" w:space="0"/>
              <w:left w:val="single" w:color="000000" w:sz="6" w:space="0"/>
              <w:bottom w:val="single" w:color="000000" w:sz="4" w:space="0"/>
              <w:right w:val="single" w:color="000000"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公务用车购置及运行维护费</w:t>
            </w:r>
          </w:p>
        </w:tc>
      </w:tr>
      <w:tr>
        <w:tblPrEx>
          <w:tblLayout w:type="fixed"/>
          <w:tblCellMar>
            <w:top w:w="0" w:type="dxa"/>
            <w:left w:w="108" w:type="dxa"/>
            <w:bottom w:w="0" w:type="dxa"/>
            <w:right w:w="108" w:type="dxa"/>
          </w:tblCellMar>
        </w:tblPrEx>
        <w:trPr>
          <w:trHeight w:val="420" w:hRule="atLeast"/>
        </w:trPr>
        <w:tc>
          <w:tcPr>
            <w:tcW w:w="1847" w:type="dxa"/>
            <w:vMerge w:val="continue"/>
            <w:tcBorders>
              <w:top w:val="single" w:color="000000" w:sz="6" w:space="0"/>
              <w:left w:val="single" w:color="000000" w:sz="4"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1891" w:type="dxa"/>
            <w:vMerge w:val="continue"/>
            <w:tcBorders>
              <w:top w:val="single" w:color="000000" w:sz="6" w:space="0"/>
              <w:left w:val="single" w:color="000000" w:sz="6"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1550" w:type="dxa"/>
            <w:vMerge w:val="continue"/>
            <w:tcBorders>
              <w:top w:val="single" w:color="000000" w:sz="6" w:space="0"/>
              <w:left w:val="single" w:color="000000" w:sz="6"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1288" w:type="dxa"/>
            <w:vMerge w:val="continue"/>
            <w:tcBorders>
              <w:top w:val="single" w:color="000000" w:sz="6" w:space="0"/>
              <w:left w:val="single" w:color="000000" w:sz="6"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1674" w:type="dxa"/>
            <w:vMerge w:val="restart"/>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公务用车购置费</w:t>
            </w:r>
          </w:p>
        </w:tc>
        <w:tc>
          <w:tcPr>
            <w:tcW w:w="5968" w:type="dxa"/>
            <w:gridSpan w:val="5"/>
            <w:tcBorders>
              <w:top w:val="single" w:color="000000" w:sz="6" w:space="0"/>
              <w:left w:val="single" w:color="000000" w:sz="6" w:space="0"/>
              <w:bottom w:val="single" w:color="000000" w:sz="4" w:space="0"/>
              <w:right w:val="single" w:color="000000"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公务用车运行维护费</w:t>
            </w:r>
          </w:p>
        </w:tc>
      </w:tr>
      <w:tr>
        <w:tblPrEx>
          <w:tblLayout w:type="fixed"/>
          <w:tblCellMar>
            <w:top w:w="0" w:type="dxa"/>
            <w:left w:w="108" w:type="dxa"/>
            <w:bottom w:w="0" w:type="dxa"/>
            <w:right w:w="108" w:type="dxa"/>
          </w:tblCellMar>
        </w:tblPrEx>
        <w:trPr>
          <w:trHeight w:val="420" w:hRule="atLeast"/>
        </w:trPr>
        <w:tc>
          <w:tcPr>
            <w:tcW w:w="1847" w:type="dxa"/>
            <w:vMerge w:val="continue"/>
            <w:tcBorders>
              <w:top w:val="single" w:color="000000" w:sz="6" w:space="0"/>
              <w:left w:val="single" w:color="000000" w:sz="4"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1891" w:type="dxa"/>
            <w:vMerge w:val="continue"/>
            <w:tcBorders>
              <w:top w:val="single" w:color="000000" w:sz="6" w:space="0"/>
              <w:left w:val="single" w:color="000000" w:sz="6"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1550" w:type="dxa"/>
            <w:vMerge w:val="continue"/>
            <w:tcBorders>
              <w:top w:val="single" w:color="000000" w:sz="6" w:space="0"/>
              <w:left w:val="single" w:color="000000" w:sz="6"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1288" w:type="dxa"/>
            <w:vMerge w:val="continue"/>
            <w:tcBorders>
              <w:top w:val="single" w:color="000000" w:sz="6" w:space="0"/>
              <w:left w:val="single" w:color="000000" w:sz="6"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1674" w:type="dxa"/>
            <w:vMerge w:val="continue"/>
            <w:tcBorders>
              <w:top w:val="single" w:color="000000" w:sz="6" w:space="0"/>
              <w:left w:val="single" w:color="000000" w:sz="6" w:space="0"/>
              <w:bottom w:val="single" w:color="000000" w:sz="4" w:space="0"/>
              <w:right w:val="single" w:color="000000" w:sz="6" w:space="0"/>
            </w:tcBorders>
            <w:shd w:val="clear" w:color="auto" w:fill="auto"/>
            <w:vAlign w:val="center"/>
          </w:tcPr>
          <w:p>
            <w:pPr>
              <w:widowControl/>
              <w:spacing w:line="560" w:lineRule="exact"/>
              <w:jc w:val="left"/>
              <w:rPr>
                <w:rFonts w:ascii="宋体" w:hAnsi="宋体" w:cs="Arial"/>
                <w:kern w:val="0"/>
                <w:sz w:val="20"/>
                <w:szCs w:val="20"/>
              </w:rPr>
            </w:pPr>
          </w:p>
        </w:tc>
        <w:tc>
          <w:tcPr>
            <w:tcW w:w="617"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小计</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公务用车加油</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公务用车维修</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公务用车保险</w:t>
            </w:r>
          </w:p>
        </w:tc>
        <w:tc>
          <w:tcPr>
            <w:tcW w:w="1097" w:type="dxa"/>
            <w:tcBorders>
              <w:top w:val="single" w:color="000000" w:sz="6" w:space="0"/>
              <w:left w:val="single" w:color="000000" w:sz="6" w:space="0"/>
              <w:bottom w:val="single" w:color="000000" w:sz="4" w:space="0"/>
              <w:right w:val="single" w:color="000000"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其他</w:t>
            </w:r>
          </w:p>
        </w:tc>
      </w:tr>
      <w:tr>
        <w:tblPrEx>
          <w:tblLayout w:type="fixed"/>
          <w:tblCellMar>
            <w:top w:w="0" w:type="dxa"/>
            <w:left w:w="108" w:type="dxa"/>
            <w:bottom w:w="0" w:type="dxa"/>
            <w:right w:w="108" w:type="dxa"/>
          </w:tblCellMar>
        </w:tblPrEx>
        <w:trPr>
          <w:trHeight w:val="420" w:hRule="atLeast"/>
        </w:trPr>
        <w:tc>
          <w:tcPr>
            <w:tcW w:w="1847" w:type="dxa"/>
            <w:tcBorders>
              <w:top w:val="single" w:color="000000" w:sz="6" w:space="0"/>
              <w:left w:val="single" w:color="000000" w:sz="4"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栏次</w:t>
            </w:r>
          </w:p>
        </w:tc>
        <w:tc>
          <w:tcPr>
            <w:tcW w:w="1891"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1</w:t>
            </w:r>
          </w:p>
        </w:tc>
        <w:tc>
          <w:tcPr>
            <w:tcW w:w="1550"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2</w:t>
            </w:r>
          </w:p>
        </w:tc>
        <w:tc>
          <w:tcPr>
            <w:tcW w:w="128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3</w:t>
            </w:r>
          </w:p>
        </w:tc>
        <w:tc>
          <w:tcPr>
            <w:tcW w:w="1674"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4</w:t>
            </w:r>
          </w:p>
        </w:tc>
        <w:tc>
          <w:tcPr>
            <w:tcW w:w="617"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5</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6</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7</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8</w:t>
            </w:r>
          </w:p>
        </w:tc>
        <w:tc>
          <w:tcPr>
            <w:tcW w:w="1097" w:type="dxa"/>
            <w:tcBorders>
              <w:top w:val="single" w:color="000000" w:sz="6" w:space="0"/>
              <w:left w:val="single" w:color="000000" w:sz="6" w:space="0"/>
              <w:bottom w:val="single" w:color="000000" w:sz="4" w:space="0"/>
              <w:right w:val="single" w:color="000000" w:sz="4"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9</w:t>
            </w:r>
          </w:p>
        </w:tc>
      </w:tr>
      <w:tr>
        <w:tblPrEx>
          <w:tblLayout w:type="fixed"/>
          <w:tblCellMar>
            <w:top w:w="0" w:type="dxa"/>
            <w:left w:w="108" w:type="dxa"/>
            <w:bottom w:w="0" w:type="dxa"/>
            <w:right w:w="108" w:type="dxa"/>
          </w:tblCellMar>
        </w:tblPrEx>
        <w:trPr>
          <w:trHeight w:val="420" w:hRule="atLeast"/>
        </w:trPr>
        <w:tc>
          <w:tcPr>
            <w:tcW w:w="1847" w:type="dxa"/>
            <w:tcBorders>
              <w:top w:val="single" w:color="000000" w:sz="6" w:space="0"/>
              <w:left w:val="single" w:color="000000" w:sz="4"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2021年预算</w:t>
            </w:r>
          </w:p>
        </w:tc>
        <w:tc>
          <w:tcPr>
            <w:tcW w:w="1891"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550"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28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74"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617"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097" w:type="dxa"/>
            <w:tcBorders>
              <w:top w:val="single" w:color="000000" w:sz="6" w:space="0"/>
              <w:left w:val="single" w:color="000000" w:sz="6" w:space="0"/>
              <w:bottom w:val="single" w:color="000000" w:sz="4" w:space="0"/>
              <w:right w:val="single" w:color="000000"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420" w:hRule="atLeast"/>
        </w:trPr>
        <w:tc>
          <w:tcPr>
            <w:tcW w:w="1847" w:type="dxa"/>
            <w:tcBorders>
              <w:top w:val="single" w:color="000000" w:sz="6" w:space="0"/>
              <w:left w:val="single" w:color="000000" w:sz="4" w:space="0"/>
              <w:bottom w:val="single" w:color="000000" w:sz="4" w:space="0"/>
              <w:right w:val="single" w:color="000000" w:sz="6" w:space="0"/>
            </w:tcBorders>
            <w:shd w:val="clear" w:color="auto" w:fill="auto"/>
            <w:noWrap/>
            <w:vAlign w:val="center"/>
          </w:tcPr>
          <w:p>
            <w:pPr>
              <w:widowControl/>
              <w:spacing w:line="560" w:lineRule="exact"/>
              <w:jc w:val="center"/>
              <w:rPr>
                <w:rFonts w:ascii="宋体" w:hAnsi="宋体" w:cs="Arial"/>
                <w:kern w:val="0"/>
                <w:sz w:val="20"/>
                <w:szCs w:val="20"/>
              </w:rPr>
            </w:pPr>
            <w:r>
              <w:rPr>
                <w:rFonts w:hint="eastAsia" w:ascii="宋体" w:hAnsi="宋体" w:cs="Arial"/>
                <w:kern w:val="0"/>
                <w:sz w:val="20"/>
                <w:szCs w:val="20"/>
              </w:rPr>
              <w:t>2021年决算</w:t>
            </w:r>
          </w:p>
        </w:tc>
        <w:tc>
          <w:tcPr>
            <w:tcW w:w="1891"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550"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28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674"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617"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418" w:type="dxa"/>
            <w:tcBorders>
              <w:top w:val="single" w:color="000000" w:sz="6" w:space="0"/>
              <w:left w:val="single" w:color="000000" w:sz="6" w:space="0"/>
              <w:bottom w:val="single" w:color="000000" w:sz="4" w:space="0"/>
              <w:right w:val="single" w:color="000000" w:sz="6"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c>
          <w:tcPr>
            <w:tcW w:w="1097" w:type="dxa"/>
            <w:tcBorders>
              <w:top w:val="single" w:color="000000" w:sz="6" w:space="0"/>
              <w:left w:val="single" w:color="000000" w:sz="6" w:space="0"/>
              <w:bottom w:val="single" w:color="000000" w:sz="4" w:space="0"/>
              <w:right w:val="single" w:color="000000" w:sz="4" w:space="0"/>
            </w:tcBorders>
            <w:shd w:val="clear" w:color="auto" w:fill="auto"/>
            <w:noWrap/>
            <w:vAlign w:val="center"/>
          </w:tcPr>
          <w:p>
            <w:pPr>
              <w:widowControl/>
              <w:spacing w:line="560" w:lineRule="exact"/>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560" w:hRule="atLeast"/>
        </w:trPr>
        <w:tc>
          <w:tcPr>
            <w:tcW w:w="14218" w:type="dxa"/>
            <w:gridSpan w:val="10"/>
            <w:vMerge w:val="restart"/>
            <w:tcBorders>
              <w:top w:val="single" w:color="000000" w:sz="6"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rPr>
                <w:rFonts w:ascii="宋体" w:hAnsi="宋体" w:cs="Arial"/>
                <w:kern w:val="0"/>
                <w:sz w:val="20"/>
                <w:szCs w:val="20"/>
              </w:rPr>
            </w:pPr>
            <w:r>
              <w:rPr>
                <w:rFonts w:hint="eastAsia" w:ascii="宋体" w:hAnsi="宋体" w:cs="Arial"/>
                <w:kern w:val="0"/>
                <w:sz w:val="20"/>
                <w:szCs w:val="20"/>
              </w:rPr>
              <w:t>注："三公"经费财政拨款决算数，反映当年财政拨款和年初结转结余资金实际支出数（包含一般公共预算拨款和政府性基金预算拨款）。</w:t>
            </w:r>
          </w:p>
        </w:tc>
      </w:tr>
      <w:tr>
        <w:tblPrEx>
          <w:tblLayout w:type="fixed"/>
          <w:tblCellMar>
            <w:top w:w="0" w:type="dxa"/>
            <w:left w:w="108" w:type="dxa"/>
            <w:bottom w:w="0" w:type="dxa"/>
            <w:right w:w="108" w:type="dxa"/>
          </w:tblCellMar>
        </w:tblPrEx>
        <w:trPr>
          <w:trHeight w:val="560" w:hRule="atLeast"/>
        </w:trPr>
        <w:tc>
          <w:tcPr>
            <w:tcW w:w="14218" w:type="dxa"/>
            <w:gridSpan w:val="10"/>
            <w:vMerge w:val="continue"/>
            <w:tcBorders>
              <w:top w:val="single" w:color="000000" w:sz="6"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rPr>
                <w:rFonts w:ascii="宋体" w:hAnsi="宋体" w:cs="Arial"/>
                <w:kern w:val="0"/>
                <w:sz w:val="20"/>
                <w:szCs w:val="20"/>
              </w:rPr>
            </w:pPr>
          </w:p>
        </w:tc>
      </w:tr>
      <w:tr>
        <w:tblPrEx>
          <w:tblLayout w:type="fixed"/>
          <w:tblCellMar>
            <w:top w:w="0" w:type="dxa"/>
            <w:left w:w="108" w:type="dxa"/>
            <w:bottom w:w="0" w:type="dxa"/>
            <w:right w:w="108" w:type="dxa"/>
          </w:tblCellMar>
        </w:tblPrEx>
        <w:trPr>
          <w:trHeight w:val="560" w:hRule="atLeast"/>
        </w:trPr>
        <w:tc>
          <w:tcPr>
            <w:tcW w:w="14218" w:type="dxa"/>
            <w:gridSpan w:val="10"/>
            <w:vMerge w:val="continue"/>
            <w:tcBorders>
              <w:top w:val="single" w:color="000000" w:sz="6" w:space="0"/>
              <w:left w:val="single" w:color="000000" w:sz="4" w:space="0"/>
              <w:bottom w:val="single" w:color="000000" w:sz="4" w:space="0"/>
              <w:right w:val="single" w:color="000000" w:sz="4" w:space="0"/>
            </w:tcBorders>
            <w:shd w:val="clear" w:color="auto" w:fill="auto"/>
            <w:vAlign w:val="center"/>
          </w:tcPr>
          <w:p>
            <w:pPr>
              <w:widowControl/>
              <w:spacing w:line="560" w:lineRule="exact"/>
              <w:jc w:val="left"/>
              <w:rPr>
                <w:rFonts w:ascii="宋体" w:hAnsi="宋体" w:cs="Arial"/>
                <w:kern w:val="0"/>
                <w:sz w:val="20"/>
                <w:szCs w:val="20"/>
              </w:rPr>
            </w:pPr>
          </w:p>
        </w:tc>
      </w:tr>
    </w:tbl>
    <w:p>
      <w:pPr>
        <w:spacing w:line="560" w:lineRule="exact"/>
        <w:sectPr>
          <w:pgSz w:w="16838" w:h="11906" w:orient="landscape"/>
          <w:pgMar w:top="1418" w:right="1418" w:bottom="1418" w:left="1418" w:header="851" w:footer="992" w:gutter="0"/>
          <w:cols w:space="720" w:num="1"/>
          <w:docGrid w:linePitch="312" w:charSpace="0"/>
        </w:sectPr>
      </w:pPr>
    </w:p>
    <w:p>
      <w:pPr>
        <w:spacing w:line="560" w:lineRule="exact"/>
      </w:pPr>
      <w:r>
        <w:rPr>
          <w:rFonts w:hint="eastAsia"/>
          <w:sz w:val="30"/>
          <w:szCs w:val="30"/>
        </w:rPr>
        <w:t>表11：</w:t>
      </w:r>
    </w:p>
    <w:p>
      <w:pPr>
        <w:widowControl/>
        <w:spacing w:line="560" w:lineRule="exact"/>
        <w:jc w:val="center"/>
        <w:rPr>
          <w:rFonts w:hint="eastAsia" w:ascii="黑体" w:hAnsi="黑体" w:eastAsia="黑体" w:cs="Arial"/>
          <w:kern w:val="0"/>
          <w:sz w:val="36"/>
          <w:szCs w:val="36"/>
        </w:rPr>
      </w:pPr>
      <w:r>
        <w:rPr>
          <w:rFonts w:hint="eastAsia" w:ascii="黑体" w:hAnsi="黑体" w:eastAsia="黑体" w:cs="Arial"/>
          <w:kern w:val="0"/>
          <w:sz w:val="36"/>
          <w:szCs w:val="36"/>
        </w:rPr>
        <w:t>2021年政府采购情况表</w:t>
      </w:r>
    </w:p>
    <w:p>
      <w:pPr>
        <w:widowControl/>
        <w:spacing w:line="560" w:lineRule="exact"/>
        <w:rPr>
          <w:rFonts w:ascii="宋体" w:hAnsi="宋体" w:cs="Arial"/>
          <w:kern w:val="0"/>
          <w:sz w:val="24"/>
        </w:rPr>
      </w:pPr>
      <w:r>
        <w:rPr>
          <w:rFonts w:hint="eastAsia" w:ascii="宋体" w:hAnsi="宋体" w:cs="Arial"/>
          <w:kern w:val="0"/>
          <w:sz w:val="24"/>
        </w:rPr>
        <w:t>单位名称：北京市西城区文物管理处                                                                           单位：万元</w:t>
      </w:r>
    </w:p>
    <w:tbl>
      <w:tblPr>
        <w:tblStyle w:val="5"/>
        <w:tblW w:w="14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6"/>
        <w:gridCol w:w="62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996" w:type="dxa"/>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项  目</w:t>
            </w:r>
          </w:p>
        </w:tc>
        <w:tc>
          <w:tcPr>
            <w:tcW w:w="6222" w:type="dxa"/>
            <w:shd w:val="clear" w:color="auto" w:fill="auto"/>
            <w:vAlign w:val="bottom"/>
          </w:tcPr>
          <w:p>
            <w:pPr>
              <w:widowControl/>
              <w:jc w:val="center"/>
              <w:rPr>
                <w:rFonts w:ascii="宋体" w:hAnsi="宋体" w:cs="Arial"/>
                <w:kern w:val="0"/>
                <w:sz w:val="24"/>
              </w:rPr>
            </w:pPr>
            <w:r>
              <w:rPr>
                <w:rFonts w:hint="eastAsia" w:ascii="宋体" w:hAnsi="宋体" w:cs="Arial"/>
                <w:kern w:val="0"/>
                <w:sz w:val="24"/>
              </w:rPr>
              <w:t>统计数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99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政府采购支出信息</w:t>
            </w:r>
          </w:p>
        </w:tc>
        <w:tc>
          <w:tcPr>
            <w:tcW w:w="6222" w:type="dxa"/>
            <w:shd w:val="clear" w:color="auto" w:fill="auto"/>
            <w:vAlign w:val="center"/>
          </w:tcPr>
          <w:p>
            <w:pPr>
              <w:widowControl/>
              <w:jc w:val="center"/>
              <w:rPr>
                <w:rFonts w:ascii="宋体" w:hAnsi="宋体" w:cs="Arial"/>
                <w:kern w:val="0"/>
                <w:sz w:val="20"/>
                <w:szCs w:val="20"/>
              </w:rPr>
            </w:pPr>
            <w:r>
              <w:rPr>
                <w:rFonts w:hint="eastAsia" w:ascii="宋体" w:hAnsi="宋体" w:cs="Arial"/>
                <w:kern w:val="0"/>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99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（一）政府采购支出合计</w:t>
            </w:r>
          </w:p>
        </w:tc>
        <w:tc>
          <w:tcPr>
            <w:tcW w:w="6222" w:type="dxa"/>
            <w:shd w:val="clear" w:color="auto" w:fill="auto"/>
            <w:vAlign w:val="center"/>
          </w:tcPr>
          <w:p>
            <w:pPr>
              <w:widowControl/>
              <w:jc w:val="right"/>
              <w:rPr>
                <w:rFonts w:ascii="宋体" w:hAnsi="宋体" w:cs="Arial"/>
                <w:kern w:val="0"/>
                <w:sz w:val="20"/>
                <w:szCs w:val="20"/>
              </w:rPr>
            </w:pPr>
            <w:r>
              <w:rPr>
                <w:rFonts w:hint="eastAsia" w:ascii="宋体" w:hAnsi="宋体" w:cs="Arial"/>
                <w:kern w:val="0"/>
                <w:sz w:val="20"/>
                <w:szCs w:val="20"/>
              </w:rPr>
              <w:t>391.270000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99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1．政府采购货物支出</w:t>
            </w:r>
          </w:p>
        </w:tc>
        <w:tc>
          <w:tcPr>
            <w:tcW w:w="6222"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0.000000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99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2．政府采购工程支出</w:t>
            </w:r>
          </w:p>
        </w:tc>
        <w:tc>
          <w:tcPr>
            <w:tcW w:w="6222"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358.470000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99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 xml:space="preserve">  3．政府采购服务支出</w:t>
            </w:r>
          </w:p>
        </w:tc>
        <w:tc>
          <w:tcPr>
            <w:tcW w:w="6222"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32.800000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996" w:type="dxa"/>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（二）政府采购授予中小企业合同金额</w:t>
            </w:r>
          </w:p>
        </w:tc>
        <w:tc>
          <w:tcPr>
            <w:tcW w:w="6222"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391.270000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7996" w:type="dxa"/>
            <w:shd w:val="clear" w:color="auto" w:fill="auto"/>
            <w:noWrap/>
            <w:vAlign w:val="center"/>
          </w:tcPr>
          <w:p>
            <w:pPr>
              <w:widowControl/>
              <w:jc w:val="left"/>
              <w:rPr>
                <w:rFonts w:ascii="宋体" w:hAnsi="宋体" w:cs="Arial"/>
                <w:kern w:val="0"/>
                <w:sz w:val="24"/>
              </w:rPr>
            </w:pPr>
            <w:r>
              <w:rPr>
                <w:rFonts w:hint="eastAsia" w:ascii="宋体" w:hAnsi="宋体" w:cs="Arial"/>
                <w:kern w:val="0"/>
                <w:sz w:val="24"/>
              </w:rPr>
              <w:t xml:space="preserve">  其中：授予小微企业合同金额</w:t>
            </w:r>
          </w:p>
        </w:tc>
        <w:tc>
          <w:tcPr>
            <w:tcW w:w="6222" w:type="dxa"/>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391.270000</w:t>
            </w:r>
          </w:p>
        </w:tc>
      </w:tr>
    </w:tbl>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p>
    <w:p>
      <w:pPr>
        <w:spacing w:line="560" w:lineRule="exact"/>
      </w:pPr>
      <w:r>
        <w:rPr>
          <w:rFonts w:hint="eastAsia"/>
          <w:sz w:val="30"/>
          <w:szCs w:val="30"/>
        </w:rPr>
        <w:t>表12：</w:t>
      </w:r>
    </w:p>
    <w:p>
      <w:pPr>
        <w:widowControl/>
        <w:spacing w:line="560" w:lineRule="exact"/>
        <w:jc w:val="center"/>
        <w:rPr>
          <w:rFonts w:ascii="黑体" w:hAnsi="黑体" w:eastAsia="黑体" w:cs="Arial"/>
          <w:kern w:val="0"/>
          <w:sz w:val="36"/>
          <w:szCs w:val="36"/>
        </w:rPr>
      </w:pPr>
      <w:r>
        <w:rPr>
          <w:rFonts w:hint="eastAsia" w:ascii="黑体" w:hAnsi="黑体" w:eastAsia="黑体" w:cs="Arial"/>
          <w:kern w:val="0"/>
          <w:sz w:val="36"/>
          <w:szCs w:val="36"/>
        </w:rPr>
        <w:t>2021年政府购买服务支出情况表</w:t>
      </w:r>
    </w:p>
    <w:p>
      <w:pPr>
        <w:spacing w:line="560" w:lineRule="exact"/>
        <w:jc w:val="center"/>
        <w:rPr>
          <w:rFonts w:ascii="黑体" w:hAnsi="宋体" w:eastAsia="黑体" w:cs="黑体"/>
          <w:color w:val="000000"/>
          <w:kern w:val="0"/>
          <w:sz w:val="24"/>
        </w:rPr>
      </w:pPr>
      <w:r>
        <w:rPr>
          <w:rFonts w:hint="eastAsia" w:ascii="黑体" w:hAnsi="宋体" w:eastAsia="黑体" w:cs="黑体"/>
          <w:color w:val="000000"/>
          <w:kern w:val="0"/>
          <w:sz w:val="24"/>
        </w:rPr>
        <w:t>（不属于此项支出统计范围）</w:t>
      </w:r>
    </w:p>
    <w:tbl>
      <w:tblPr>
        <w:tblStyle w:val="5"/>
        <w:tblW w:w="14218" w:type="dxa"/>
        <w:tblInd w:w="0" w:type="dxa"/>
        <w:tblLayout w:type="fixed"/>
        <w:tblCellMar>
          <w:top w:w="0" w:type="dxa"/>
          <w:left w:w="108" w:type="dxa"/>
          <w:bottom w:w="0" w:type="dxa"/>
          <w:right w:w="108" w:type="dxa"/>
        </w:tblCellMar>
      </w:tblPr>
      <w:tblGrid>
        <w:gridCol w:w="3307"/>
        <w:gridCol w:w="5881"/>
        <w:gridCol w:w="5030"/>
      </w:tblGrid>
      <w:tr>
        <w:tblPrEx>
          <w:tblLayout w:type="fixed"/>
          <w:tblCellMar>
            <w:top w:w="0" w:type="dxa"/>
            <w:left w:w="108" w:type="dxa"/>
            <w:bottom w:w="0" w:type="dxa"/>
            <w:right w:w="108" w:type="dxa"/>
          </w:tblCellMar>
        </w:tblPrEx>
        <w:trPr>
          <w:trHeight w:val="300" w:hRule="atLeast"/>
        </w:trPr>
        <w:tc>
          <w:tcPr>
            <w:tcW w:w="9188" w:type="dxa"/>
            <w:gridSpan w:val="2"/>
            <w:tcBorders>
              <w:top w:val="nil"/>
              <w:left w:val="nil"/>
              <w:bottom w:val="single" w:color="auto" w:sz="4" w:space="0"/>
              <w:right w:val="nil"/>
            </w:tcBorders>
            <w:shd w:val="clear" w:color="auto" w:fill="auto"/>
            <w:noWrap/>
            <w:vAlign w:val="center"/>
          </w:tcPr>
          <w:p>
            <w:pPr>
              <w:widowControl/>
              <w:jc w:val="left"/>
              <w:rPr>
                <w:rFonts w:ascii="宋体" w:hAnsi="宋体" w:cs="Arial"/>
                <w:kern w:val="0"/>
                <w:sz w:val="24"/>
              </w:rPr>
            </w:pPr>
            <w:r>
              <w:rPr>
                <w:rFonts w:hint="eastAsia" w:ascii="宋体" w:hAnsi="宋体" w:cs="Arial"/>
                <w:kern w:val="0"/>
                <w:sz w:val="24"/>
              </w:rPr>
              <w:t>单位名称：北京市西城区文物管理处</w:t>
            </w:r>
          </w:p>
        </w:tc>
        <w:tc>
          <w:tcPr>
            <w:tcW w:w="5030" w:type="dxa"/>
            <w:tcBorders>
              <w:top w:val="nil"/>
              <w:left w:val="nil"/>
              <w:bottom w:val="single" w:color="auto" w:sz="4" w:space="0"/>
              <w:right w:val="nil"/>
            </w:tcBorders>
            <w:shd w:val="clear" w:color="auto" w:fill="auto"/>
            <w:noWrap/>
            <w:vAlign w:val="center"/>
          </w:tcPr>
          <w:p>
            <w:pPr>
              <w:widowControl/>
              <w:ind w:right="240"/>
              <w:jc w:val="right"/>
              <w:rPr>
                <w:rFonts w:ascii="宋体" w:hAnsi="宋体" w:cs="Arial"/>
                <w:kern w:val="0"/>
                <w:sz w:val="24"/>
              </w:rPr>
            </w:pPr>
            <w:r>
              <w:rPr>
                <w:rFonts w:hint="eastAsia" w:ascii="宋体" w:hAnsi="宋体" w:cs="Arial"/>
                <w:kern w:val="0"/>
                <w:sz w:val="24"/>
              </w:rPr>
              <w:t>单位：万元</w:t>
            </w:r>
          </w:p>
        </w:tc>
      </w:tr>
      <w:tr>
        <w:tblPrEx>
          <w:tblLayout w:type="fixed"/>
          <w:tblCellMar>
            <w:top w:w="0" w:type="dxa"/>
            <w:left w:w="108" w:type="dxa"/>
            <w:bottom w:w="0" w:type="dxa"/>
            <w:right w:w="108" w:type="dxa"/>
          </w:tblCellMar>
        </w:tblPrEx>
        <w:trPr>
          <w:trHeight w:val="420" w:hRule="atLeast"/>
        </w:trPr>
        <w:tc>
          <w:tcPr>
            <w:tcW w:w="3307"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一级目录</w:t>
            </w: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二级目录</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决算数</w:t>
            </w:r>
          </w:p>
        </w:tc>
      </w:tr>
      <w:tr>
        <w:tblPrEx>
          <w:tblLayout w:type="fixed"/>
          <w:tblCellMar>
            <w:top w:w="0" w:type="dxa"/>
            <w:left w:w="108" w:type="dxa"/>
            <w:bottom w:w="0" w:type="dxa"/>
            <w:right w:w="108" w:type="dxa"/>
          </w:tblCellMar>
        </w:tblPrEx>
        <w:trPr>
          <w:trHeight w:val="360" w:hRule="atLeast"/>
        </w:trPr>
        <w:tc>
          <w:tcPr>
            <w:tcW w:w="9188"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合计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基本公共服务</w:t>
            </w: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小计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教育</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就业</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人才服务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社会保险</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社会救助</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养老服务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扶贫济困</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优抚安置</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残疾人福利</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医疗</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公共卫生</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人口和计划生育</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食品药品</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文化</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体育</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公共安全</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科技推广</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住房保障</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环境治理</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农业</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水利</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生态保护</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公共信息</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城市维护</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交通运输</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外事</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社会管理性服务</w:t>
            </w: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小计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社区建设</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社会组织建设和管理</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社会工作服务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法律援助</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防灾救灾</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人民调解</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社区矫正</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流动人口管理</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安置帮教</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志愿服务运营管理</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公共公益宣传</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行业管理与协调性服务</w:t>
            </w: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小计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行业职业资格和水平测试管理</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行业规范</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行业投诉处理</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行业规划</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行业调查</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行业统计分析</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行业标准制修订</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技术性服务</w:t>
            </w: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小计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75"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技术评审鉴定评估</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75"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检验检疫检测</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75"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监测服务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政府履职所需辅助性服务</w:t>
            </w: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小计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法律服务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课题研究和社会调查</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财务会计审计服务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会议和展览</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监督检查</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工程服务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项目评审评估</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绩效评价</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咨询</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技术业务培训</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机关信息系统建设和维护</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后勤服务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cs="Arial"/>
                <w:kern w:val="0"/>
                <w:sz w:val="20"/>
                <w:szCs w:val="20"/>
              </w:rPr>
            </w:pPr>
            <w:r>
              <w:rPr>
                <w:rFonts w:hint="eastAsia" w:ascii="宋体" w:hAnsi="宋体" w:cs="Arial"/>
                <w:kern w:val="0"/>
                <w:sz w:val="20"/>
                <w:szCs w:val="20"/>
              </w:rPr>
              <w:t>其他服务</w:t>
            </w: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小计</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r>
        <w:tblPrEx>
          <w:tblLayout w:type="fixed"/>
          <w:tblCellMar>
            <w:top w:w="0" w:type="dxa"/>
            <w:left w:w="108" w:type="dxa"/>
            <w:bottom w:w="0" w:type="dxa"/>
            <w:right w:w="108" w:type="dxa"/>
          </w:tblCellMar>
        </w:tblPrEx>
        <w:trPr>
          <w:trHeight w:val="360" w:hRule="atLeast"/>
        </w:trPr>
        <w:tc>
          <w:tcPr>
            <w:tcW w:w="3307"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Arial"/>
                <w:kern w:val="0"/>
                <w:sz w:val="20"/>
                <w:szCs w:val="20"/>
              </w:rPr>
            </w:pPr>
          </w:p>
        </w:tc>
        <w:tc>
          <w:tcPr>
            <w:tcW w:w="5881"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ascii="宋体" w:hAnsi="宋体" w:cs="Arial"/>
                <w:kern w:val="0"/>
                <w:sz w:val="20"/>
                <w:szCs w:val="20"/>
              </w:rPr>
            </w:pPr>
            <w:r>
              <w:rPr>
                <w:rFonts w:hint="eastAsia" w:ascii="宋体" w:hAnsi="宋体" w:cs="Arial"/>
                <w:kern w:val="0"/>
                <w:sz w:val="20"/>
                <w:szCs w:val="20"/>
              </w:rPr>
              <w:t>其他适宜有社会力量承担的服务事项</w:t>
            </w:r>
          </w:p>
        </w:tc>
        <w:tc>
          <w:tcPr>
            <w:tcW w:w="503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right"/>
              <w:rPr>
                <w:rFonts w:ascii="宋体" w:hAnsi="宋体" w:cs="Arial"/>
                <w:kern w:val="0"/>
                <w:sz w:val="20"/>
                <w:szCs w:val="20"/>
              </w:rPr>
            </w:pPr>
            <w:r>
              <w:rPr>
                <w:rFonts w:hint="eastAsia" w:ascii="宋体" w:hAnsi="宋体" w:cs="Arial"/>
                <w:kern w:val="0"/>
                <w:sz w:val="20"/>
                <w:szCs w:val="20"/>
              </w:rPr>
              <w:t>　</w:t>
            </w:r>
          </w:p>
        </w:tc>
      </w:tr>
    </w:tbl>
    <w:p>
      <w:pPr>
        <w:spacing w:line="560" w:lineRule="exact"/>
      </w:pPr>
    </w:p>
    <w:sectPr>
      <w:pgSz w:w="16838" w:h="11906" w:orient="landscape"/>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14935" cy="131445"/>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wps:spPr>
                    <wps:txbx>
                      <w:txbxContent>
                        <w:p>
                          <w:pPr>
                            <w:pStyle w:val="3"/>
                          </w:pPr>
                          <w:r>
                            <w:fldChar w:fldCharType="begin"/>
                          </w:r>
                          <w:r>
                            <w:instrText xml:space="preserve"> PAGE  \* MERGEFORMAT </w:instrText>
                          </w:r>
                          <w:r>
                            <w:fldChar w:fldCharType="separate"/>
                          </w:r>
                          <w:r>
                            <w:t>10</w:t>
                          </w:r>
                          <w: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0.35pt;width:9.05pt;mso-position-horizontal:center;mso-position-horizontal-relative:margin;mso-wrap-style:none;z-index:251658240;mso-width-relative:page;mso-height-relative:page;" filled="f" stroked="f" coordsize="21600,21600" o:gfxdata="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BD5X5J0AAA&#10;AAMBAAAPAAAAAAAAAAEAIAAAACIAAABkcnMvZG93bnJldi54bWxQSwECFAAUAAAACACHTuJAvBRX&#10;Ge0BAAC0AwAADgAAAAAAAAABACAAAAAfAQAAZHJzL2Uyb0RvYy54bWxQSwUGAAAAAAYABgBZAQAA&#10;fg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 PAGE   \* MERGEFORMAT </w:instrText>
    </w:r>
    <w:r>
      <w:fldChar w:fldCharType="separate"/>
    </w:r>
    <w:r>
      <w:rPr>
        <w:lang w:val="zh-CN"/>
      </w:rPr>
      <w:t>30</w:t>
    </w:r>
    <w:r>
      <w:fldChar w:fldCharType="end"/>
    </w:r>
  </w:p>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54ADEC"/>
    <w:multiLevelType w:val="singleLevel"/>
    <w:tmpl w:val="8F54ADEC"/>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906"/>
    <w:rsid w:val="00007C24"/>
    <w:rsid w:val="000127D5"/>
    <w:rsid w:val="00012C75"/>
    <w:rsid w:val="000136BE"/>
    <w:rsid w:val="0001517C"/>
    <w:rsid w:val="00047D07"/>
    <w:rsid w:val="00057466"/>
    <w:rsid w:val="000652D6"/>
    <w:rsid w:val="0008607A"/>
    <w:rsid w:val="00095F4B"/>
    <w:rsid w:val="000A50DD"/>
    <w:rsid w:val="000A5EEC"/>
    <w:rsid w:val="000A7324"/>
    <w:rsid w:val="000B74A0"/>
    <w:rsid w:val="000D1B4A"/>
    <w:rsid w:val="000D564E"/>
    <w:rsid w:val="000F0FC2"/>
    <w:rsid w:val="000F2040"/>
    <w:rsid w:val="001257CA"/>
    <w:rsid w:val="001271D3"/>
    <w:rsid w:val="001306DC"/>
    <w:rsid w:val="00146346"/>
    <w:rsid w:val="00147B08"/>
    <w:rsid w:val="00147EC5"/>
    <w:rsid w:val="001551B0"/>
    <w:rsid w:val="00187216"/>
    <w:rsid w:val="0019605E"/>
    <w:rsid w:val="001A655D"/>
    <w:rsid w:val="001B17A0"/>
    <w:rsid w:val="001F7B79"/>
    <w:rsid w:val="00202702"/>
    <w:rsid w:val="00215DAD"/>
    <w:rsid w:val="00223A77"/>
    <w:rsid w:val="00224674"/>
    <w:rsid w:val="00232B30"/>
    <w:rsid w:val="00245906"/>
    <w:rsid w:val="00250B26"/>
    <w:rsid w:val="00253381"/>
    <w:rsid w:val="002724E6"/>
    <w:rsid w:val="002920A0"/>
    <w:rsid w:val="002926E0"/>
    <w:rsid w:val="00294DDF"/>
    <w:rsid w:val="002A2816"/>
    <w:rsid w:val="002B48B4"/>
    <w:rsid w:val="002B7DDA"/>
    <w:rsid w:val="002C1D7C"/>
    <w:rsid w:val="002D72DF"/>
    <w:rsid w:val="002E5662"/>
    <w:rsid w:val="00313853"/>
    <w:rsid w:val="00316F73"/>
    <w:rsid w:val="00342FA7"/>
    <w:rsid w:val="00351C91"/>
    <w:rsid w:val="00352C06"/>
    <w:rsid w:val="0037059A"/>
    <w:rsid w:val="003767CD"/>
    <w:rsid w:val="003852F8"/>
    <w:rsid w:val="003875B9"/>
    <w:rsid w:val="003936A7"/>
    <w:rsid w:val="00396293"/>
    <w:rsid w:val="003B59FF"/>
    <w:rsid w:val="003B7425"/>
    <w:rsid w:val="003F7FA8"/>
    <w:rsid w:val="004021A2"/>
    <w:rsid w:val="004133B2"/>
    <w:rsid w:val="00413AE9"/>
    <w:rsid w:val="00417D86"/>
    <w:rsid w:val="00426996"/>
    <w:rsid w:val="00474B50"/>
    <w:rsid w:val="00481CE4"/>
    <w:rsid w:val="004A48CC"/>
    <w:rsid w:val="004A5351"/>
    <w:rsid w:val="004C1CF3"/>
    <w:rsid w:val="004C4C46"/>
    <w:rsid w:val="004E19BB"/>
    <w:rsid w:val="004E70A9"/>
    <w:rsid w:val="00506D26"/>
    <w:rsid w:val="005162D7"/>
    <w:rsid w:val="00516F58"/>
    <w:rsid w:val="00554DED"/>
    <w:rsid w:val="005561D5"/>
    <w:rsid w:val="00566179"/>
    <w:rsid w:val="005825DF"/>
    <w:rsid w:val="00592CBF"/>
    <w:rsid w:val="00595827"/>
    <w:rsid w:val="005A3D2F"/>
    <w:rsid w:val="005A6E64"/>
    <w:rsid w:val="005C2885"/>
    <w:rsid w:val="005C727F"/>
    <w:rsid w:val="005D470B"/>
    <w:rsid w:val="005E0C01"/>
    <w:rsid w:val="005E57C4"/>
    <w:rsid w:val="005F1C79"/>
    <w:rsid w:val="005F64F8"/>
    <w:rsid w:val="00601FC0"/>
    <w:rsid w:val="00603933"/>
    <w:rsid w:val="00607061"/>
    <w:rsid w:val="006126F1"/>
    <w:rsid w:val="00617F37"/>
    <w:rsid w:val="00620A0B"/>
    <w:rsid w:val="006670F2"/>
    <w:rsid w:val="00673D02"/>
    <w:rsid w:val="0067689B"/>
    <w:rsid w:val="00693049"/>
    <w:rsid w:val="006D5C83"/>
    <w:rsid w:val="006D70D3"/>
    <w:rsid w:val="006E1369"/>
    <w:rsid w:val="006E30F8"/>
    <w:rsid w:val="006F4E5C"/>
    <w:rsid w:val="00712AA1"/>
    <w:rsid w:val="00715F4B"/>
    <w:rsid w:val="007206DE"/>
    <w:rsid w:val="0073150D"/>
    <w:rsid w:val="00733198"/>
    <w:rsid w:val="00736D58"/>
    <w:rsid w:val="0073793D"/>
    <w:rsid w:val="0075642F"/>
    <w:rsid w:val="007578FC"/>
    <w:rsid w:val="00765C91"/>
    <w:rsid w:val="00776A17"/>
    <w:rsid w:val="0078280F"/>
    <w:rsid w:val="00784436"/>
    <w:rsid w:val="007923E7"/>
    <w:rsid w:val="00795482"/>
    <w:rsid w:val="007A2706"/>
    <w:rsid w:val="007B1659"/>
    <w:rsid w:val="007B4BA4"/>
    <w:rsid w:val="007B6E1F"/>
    <w:rsid w:val="007C7CA2"/>
    <w:rsid w:val="007D55D6"/>
    <w:rsid w:val="007E4606"/>
    <w:rsid w:val="007F5781"/>
    <w:rsid w:val="00801E9F"/>
    <w:rsid w:val="00805687"/>
    <w:rsid w:val="00805B7C"/>
    <w:rsid w:val="00815857"/>
    <w:rsid w:val="00821136"/>
    <w:rsid w:val="00865D9E"/>
    <w:rsid w:val="00871DEC"/>
    <w:rsid w:val="00873118"/>
    <w:rsid w:val="00887A13"/>
    <w:rsid w:val="00895836"/>
    <w:rsid w:val="0089788F"/>
    <w:rsid w:val="008A1999"/>
    <w:rsid w:val="008C01C7"/>
    <w:rsid w:val="008C4787"/>
    <w:rsid w:val="008E27A5"/>
    <w:rsid w:val="008F09DC"/>
    <w:rsid w:val="008F6281"/>
    <w:rsid w:val="00912AC0"/>
    <w:rsid w:val="00920CC4"/>
    <w:rsid w:val="00923651"/>
    <w:rsid w:val="00925E4D"/>
    <w:rsid w:val="009326A3"/>
    <w:rsid w:val="0093610E"/>
    <w:rsid w:val="00941B4F"/>
    <w:rsid w:val="0094734B"/>
    <w:rsid w:val="00966FA5"/>
    <w:rsid w:val="009723A5"/>
    <w:rsid w:val="009736A1"/>
    <w:rsid w:val="009850A6"/>
    <w:rsid w:val="00990CCF"/>
    <w:rsid w:val="0099508F"/>
    <w:rsid w:val="009C15BA"/>
    <w:rsid w:val="009C2D60"/>
    <w:rsid w:val="009D0066"/>
    <w:rsid w:val="009D17FD"/>
    <w:rsid w:val="009F39B9"/>
    <w:rsid w:val="009F46B9"/>
    <w:rsid w:val="00A06690"/>
    <w:rsid w:val="00A07A8F"/>
    <w:rsid w:val="00A20766"/>
    <w:rsid w:val="00A4728B"/>
    <w:rsid w:val="00A852FD"/>
    <w:rsid w:val="00A86ADB"/>
    <w:rsid w:val="00A915B8"/>
    <w:rsid w:val="00A925DE"/>
    <w:rsid w:val="00A979EA"/>
    <w:rsid w:val="00AA1388"/>
    <w:rsid w:val="00AB555D"/>
    <w:rsid w:val="00AD368F"/>
    <w:rsid w:val="00AD4567"/>
    <w:rsid w:val="00AE107B"/>
    <w:rsid w:val="00AF6247"/>
    <w:rsid w:val="00B0384D"/>
    <w:rsid w:val="00B039BB"/>
    <w:rsid w:val="00B1743C"/>
    <w:rsid w:val="00B2213F"/>
    <w:rsid w:val="00B24D75"/>
    <w:rsid w:val="00B46696"/>
    <w:rsid w:val="00B4697A"/>
    <w:rsid w:val="00B751B7"/>
    <w:rsid w:val="00B81E61"/>
    <w:rsid w:val="00B911D1"/>
    <w:rsid w:val="00BB3468"/>
    <w:rsid w:val="00BB6D1E"/>
    <w:rsid w:val="00BB7136"/>
    <w:rsid w:val="00BC5EE6"/>
    <w:rsid w:val="00BD5A58"/>
    <w:rsid w:val="00BE65C8"/>
    <w:rsid w:val="00BF2BAE"/>
    <w:rsid w:val="00C02726"/>
    <w:rsid w:val="00C155FA"/>
    <w:rsid w:val="00C34D77"/>
    <w:rsid w:val="00C365E8"/>
    <w:rsid w:val="00C42027"/>
    <w:rsid w:val="00C4499E"/>
    <w:rsid w:val="00C47D4B"/>
    <w:rsid w:val="00C52EF7"/>
    <w:rsid w:val="00C5414A"/>
    <w:rsid w:val="00C6170F"/>
    <w:rsid w:val="00C6289B"/>
    <w:rsid w:val="00C66681"/>
    <w:rsid w:val="00CB4960"/>
    <w:rsid w:val="00CD4162"/>
    <w:rsid w:val="00CD7414"/>
    <w:rsid w:val="00CE4723"/>
    <w:rsid w:val="00CE517A"/>
    <w:rsid w:val="00CF6842"/>
    <w:rsid w:val="00D05809"/>
    <w:rsid w:val="00D116D0"/>
    <w:rsid w:val="00D15556"/>
    <w:rsid w:val="00D2010F"/>
    <w:rsid w:val="00D20370"/>
    <w:rsid w:val="00D2548C"/>
    <w:rsid w:val="00D254CD"/>
    <w:rsid w:val="00D42681"/>
    <w:rsid w:val="00D437FB"/>
    <w:rsid w:val="00D50EB6"/>
    <w:rsid w:val="00DA1FA5"/>
    <w:rsid w:val="00DA2A25"/>
    <w:rsid w:val="00DA3F71"/>
    <w:rsid w:val="00DB24E5"/>
    <w:rsid w:val="00DC1281"/>
    <w:rsid w:val="00DC4145"/>
    <w:rsid w:val="00DD1C2E"/>
    <w:rsid w:val="00DE0112"/>
    <w:rsid w:val="00DF0872"/>
    <w:rsid w:val="00DF34FF"/>
    <w:rsid w:val="00E04C68"/>
    <w:rsid w:val="00E04CC6"/>
    <w:rsid w:val="00E34D4D"/>
    <w:rsid w:val="00E371B3"/>
    <w:rsid w:val="00E83527"/>
    <w:rsid w:val="00E85C60"/>
    <w:rsid w:val="00E90BF0"/>
    <w:rsid w:val="00EA1500"/>
    <w:rsid w:val="00EA3403"/>
    <w:rsid w:val="00ED1457"/>
    <w:rsid w:val="00EF1CA4"/>
    <w:rsid w:val="00F02FEA"/>
    <w:rsid w:val="00F103B2"/>
    <w:rsid w:val="00F25D6C"/>
    <w:rsid w:val="00F27B13"/>
    <w:rsid w:val="00F3456D"/>
    <w:rsid w:val="00F43BCA"/>
    <w:rsid w:val="00F77808"/>
    <w:rsid w:val="00F82E4A"/>
    <w:rsid w:val="00F90680"/>
    <w:rsid w:val="00FD65AB"/>
    <w:rsid w:val="00FD6EF6"/>
    <w:rsid w:val="00FF4DAD"/>
    <w:rsid w:val="01FE0744"/>
    <w:rsid w:val="03C26D81"/>
    <w:rsid w:val="0411630A"/>
    <w:rsid w:val="06424C4C"/>
    <w:rsid w:val="06586C5F"/>
    <w:rsid w:val="0AB30A76"/>
    <w:rsid w:val="0BF85C1E"/>
    <w:rsid w:val="10070CFB"/>
    <w:rsid w:val="10C1714F"/>
    <w:rsid w:val="1AC02C76"/>
    <w:rsid w:val="1CCC6112"/>
    <w:rsid w:val="1FF329FF"/>
    <w:rsid w:val="226C1F14"/>
    <w:rsid w:val="27093CA2"/>
    <w:rsid w:val="275058C3"/>
    <w:rsid w:val="2BB307D4"/>
    <w:rsid w:val="35214861"/>
    <w:rsid w:val="3C507628"/>
    <w:rsid w:val="42493F2F"/>
    <w:rsid w:val="42C6189B"/>
    <w:rsid w:val="470F53DE"/>
    <w:rsid w:val="4C2632BB"/>
    <w:rsid w:val="4EF01125"/>
    <w:rsid w:val="4F1239D8"/>
    <w:rsid w:val="53FE7BE7"/>
    <w:rsid w:val="586C08B5"/>
    <w:rsid w:val="6167728E"/>
    <w:rsid w:val="63485318"/>
    <w:rsid w:val="63D44A2C"/>
    <w:rsid w:val="68671F60"/>
    <w:rsid w:val="6B1A34AB"/>
    <w:rsid w:val="6EA95035"/>
    <w:rsid w:val="70A8378F"/>
    <w:rsid w:val="75E12B8E"/>
    <w:rsid w:val="77A76F61"/>
    <w:rsid w:val="79194EEC"/>
    <w:rsid w:val="7B2D250C"/>
    <w:rsid w:val="7B5C558E"/>
    <w:rsid w:val="7C09538E"/>
    <w:rsid w:val="7CA04D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uiPriority w:val="0"/>
    <w:rPr>
      <w:sz w:val="18"/>
      <w:szCs w:val="18"/>
    </w:rPr>
  </w:style>
  <w:style w:type="paragraph" w:styleId="3">
    <w:name w:val="footer"/>
    <w:basedOn w:val="1"/>
    <w:link w:val="8"/>
    <w:uiPriority w:val="99"/>
    <w:pPr>
      <w:tabs>
        <w:tab w:val="center" w:pos="4153"/>
        <w:tab w:val="right" w:pos="8306"/>
      </w:tabs>
      <w:snapToGrid w:val="0"/>
      <w:jc w:val="left"/>
    </w:pPr>
    <w:rPr>
      <w:sz w:val="18"/>
      <w:szCs w:val="18"/>
    </w:rPr>
  </w:style>
  <w:style w:type="paragraph" w:styleId="4">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customStyle="1" w:styleId="7">
    <w:name w:val="批注框文本 Char"/>
    <w:link w:val="2"/>
    <w:uiPriority w:val="0"/>
    <w:rPr>
      <w:kern w:val="2"/>
      <w:sz w:val="18"/>
      <w:szCs w:val="18"/>
    </w:rPr>
  </w:style>
  <w:style w:type="character" w:customStyle="1" w:styleId="8">
    <w:name w:val="页脚 Char"/>
    <w:link w:val="3"/>
    <w:qFormat/>
    <w:uiPriority w:val="99"/>
    <w:rPr>
      <w:kern w:val="2"/>
      <w:sz w:val="18"/>
      <w:szCs w:val="18"/>
    </w:rPr>
  </w:style>
  <w:style w:type="character" w:customStyle="1" w:styleId="9">
    <w:name w:val="页眉 Char"/>
    <w:link w:val="4"/>
    <w:uiPriority w:val="0"/>
    <w:rPr>
      <w:kern w:val="2"/>
      <w:sz w:val="18"/>
      <w:szCs w:val="18"/>
    </w:rPr>
  </w:style>
  <w:style w:type="paragraph" w:customStyle="1" w:styleId="10">
    <w:name w:val="Char1"/>
    <w:basedOn w:val="1"/>
    <w:semiHidden/>
    <w:uiPriority w:val="0"/>
    <w:rPr>
      <w:rFonts w:ascii="仿宋_GB2312" w:eastAsia="仿宋_GB2312"/>
      <w:b/>
      <w:sz w:val="32"/>
      <w:szCs w:val="32"/>
    </w:rPr>
  </w:style>
  <w:style w:type="character" w:customStyle="1" w:styleId="11">
    <w:name w:val="font81"/>
    <w:qFormat/>
    <w:uiPriority w:val="0"/>
    <w:rPr>
      <w:rFonts w:hint="eastAsia" w:ascii="宋体" w:hAnsi="宋体" w:eastAsia="宋体" w:cs="宋体"/>
      <w:b/>
      <w:color w:val="000000"/>
      <w:sz w:val="20"/>
      <w:szCs w:val="20"/>
      <w:u w:val="none"/>
    </w:rPr>
  </w:style>
  <w:style w:type="character" w:customStyle="1" w:styleId="12">
    <w:name w:val="font31"/>
    <w:qFormat/>
    <w:uiPriority w:val="0"/>
    <w:rPr>
      <w:rFonts w:hint="eastAsia" w:ascii="宋体" w:hAnsi="宋体" w:eastAsia="宋体" w:cs="宋体"/>
      <w:b/>
      <w:color w:val="000000"/>
      <w:sz w:val="20"/>
      <w:szCs w:val="20"/>
      <w:u w:val="none"/>
    </w:rPr>
  </w:style>
  <w:style w:type="character" w:customStyle="1" w:styleId="13">
    <w:name w:val="font91"/>
    <w:qFormat/>
    <w:uiPriority w:val="0"/>
    <w:rPr>
      <w:rFonts w:hint="eastAsia" w:ascii="宋体" w:hAnsi="宋体" w:eastAsia="宋体" w:cs="宋体"/>
      <w:b/>
      <w:color w:val="000000"/>
      <w:sz w:val="32"/>
      <w:szCs w:val="32"/>
      <w:u w:val="none"/>
    </w:rPr>
  </w:style>
  <w:style w:type="character" w:customStyle="1" w:styleId="14">
    <w:name w:val="font71"/>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4F3D3DA-2EAF-48A2-AC59-0B250054111A}">
  <ds:schemaRefs/>
</ds:datastoreItem>
</file>

<file path=docProps/app.xml><?xml version="1.0" encoding="utf-8"?>
<Properties xmlns="http://schemas.openxmlformats.org/officeDocument/2006/extended-properties" xmlns:vt="http://schemas.openxmlformats.org/officeDocument/2006/docPropsVTypes">
  <Template>Normal</Template>
  <Company>Lenovo (Beijing) Limited</Company>
  <Pages>30</Pages>
  <Words>2684</Words>
  <Characters>15301</Characters>
  <Lines>127</Lines>
  <Paragraphs>35</Paragraphs>
  <TotalTime>118</TotalTime>
  <ScaleCrop>false</ScaleCrop>
  <LinksUpToDate>false</LinksUpToDate>
  <CharactersWithSpaces>17950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2022-08-25T07:18:00Z</dcterms:created>
  <dc:creator>石彦珍</dc:creator>
  <cp:lastModifiedBy>北京市西城区文化和旅游局（主管）</cp:lastModifiedBy>
  <cp:lastPrinted>2021-09-01T07:07:00Z</cp:lastPrinted>
  <dcterms:modified xsi:type="dcterms:W3CDTF">2022-08-31T05:39:29Z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E1299805413F4216AC0A97D96235CDB3</vt:lpwstr>
  </property>
</Properties>
</file>