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楷体" w:eastAsia="仿宋_GB2312" w:cs="Times New Roman"/>
          <w:b/>
          <w:sz w:val="36"/>
          <w:szCs w:val="36"/>
        </w:rPr>
      </w:pPr>
      <w:r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  <w:t>北京市</w:t>
      </w:r>
      <w:r>
        <w:rPr>
          <w:rFonts w:hint="eastAsia" w:ascii="仿宋_GB2312" w:hAnsi="楷体" w:eastAsia="仿宋_GB2312" w:cs="Times New Roman"/>
          <w:b/>
          <w:sz w:val="36"/>
          <w:szCs w:val="36"/>
        </w:rPr>
        <w:t>西城区园林</w:t>
      </w:r>
      <w:r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  <w:t>绿化局</w:t>
      </w:r>
      <w:r>
        <w:rPr>
          <w:rFonts w:hint="eastAsia" w:ascii="仿宋_GB2312" w:hAnsi="楷体" w:eastAsia="仿宋_GB2312" w:cs="Times New Roman"/>
          <w:b/>
          <w:sz w:val="36"/>
          <w:szCs w:val="36"/>
        </w:rPr>
        <w:t>2021年度</w:t>
      </w:r>
    </w:p>
    <w:p>
      <w:pPr>
        <w:jc w:val="center"/>
        <w:rPr>
          <w:rFonts w:hint="eastAsia" w:ascii="仿宋_GB2312" w:hAnsi="楷体" w:eastAsia="仿宋_GB2312" w:cs="Times New Roman"/>
          <w:b/>
          <w:sz w:val="36"/>
          <w:szCs w:val="36"/>
        </w:rPr>
      </w:pPr>
      <w:r>
        <w:rPr>
          <w:rFonts w:hint="eastAsia" w:ascii="仿宋_GB2312" w:hAnsi="楷体" w:eastAsia="仿宋_GB2312" w:cs="Times New Roman"/>
          <w:b/>
          <w:sz w:val="36"/>
          <w:szCs w:val="36"/>
        </w:rPr>
        <w:t>部门</w:t>
      </w:r>
      <w:r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  <w:t>汇总</w:t>
      </w:r>
      <w:r>
        <w:rPr>
          <w:rFonts w:hint="eastAsia" w:ascii="仿宋_GB2312" w:hAnsi="楷体" w:eastAsia="仿宋_GB2312" w:cs="Times New Roman"/>
          <w:b/>
          <w:sz w:val="36"/>
          <w:szCs w:val="36"/>
        </w:rPr>
        <w:t>决算及“三公”经费决算信息公开</w:t>
      </w:r>
    </w:p>
    <w:p>
      <w:pPr>
        <w:jc w:val="center"/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</w:pPr>
      <w:r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  <w:t>（</w:t>
      </w:r>
      <w:r>
        <w:rPr>
          <w:rFonts w:hint="eastAsia" w:ascii="仿宋_GB2312" w:hAnsi="楷体" w:eastAsia="仿宋_GB2312" w:cs="Times New Roman"/>
          <w:b/>
          <w:sz w:val="36"/>
          <w:szCs w:val="36"/>
        </w:rPr>
        <w:t>目录</w:t>
      </w:r>
      <w:r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  <w:t>）</w:t>
      </w:r>
    </w:p>
    <w:p>
      <w:pPr>
        <w:jc w:val="center"/>
        <w:rPr>
          <w:rFonts w:ascii="宋体"/>
          <w:b/>
          <w:sz w:val="44"/>
          <w:szCs w:val="44"/>
        </w:rPr>
      </w:pPr>
    </w:p>
    <w:p>
      <w:pPr>
        <w:spacing w:line="560" w:lineRule="exact"/>
        <w:ind w:firstLine="320" w:firstLineChars="1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第一部分</w:t>
      </w:r>
      <w:r>
        <w:rPr>
          <w:rFonts w:ascii="黑体" w:eastAsia="黑体"/>
          <w:color w:val="000000"/>
          <w:sz w:val="32"/>
          <w:szCs w:val="32"/>
        </w:rPr>
        <w:t>、</w:t>
      </w:r>
      <w:r>
        <w:rPr>
          <w:rFonts w:hint="eastAsia" w:ascii="黑体" w:eastAsia="黑体"/>
          <w:color w:val="000000"/>
          <w:sz w:val="32"/>
          <w:szCs w:val="32"/>
        </w:rPr>
        <w:t>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</w:t>
      </w:r>
      <w:r>
        <w:rPr>
          <w:rFonts w:ascii="黑体" w:eastAsia="黑体"/>
          <w:color w:val="000000"/>
          <w:sz w:val="32"/>
          <w:szCs w:val="32"/>
        </w:rPr>
        <w:t>部门</w:t>
      </w:r>
      <w:r>
        <w:rPr>
          <w:rFonts w:hint="eastAsia" w:ascii="黑体" w:eastAsia="黑体"/>
          <w:color w:val="000000"/>
          <w:sz w:val="32"/>
          <w:szCs w:val="32"/>
        </w:rPr>
        <w:t>决</w:t>
      </w:r>
      <w:r>
        <w:rPr>
          <w:rFonts w:ascii="黑体" w:eastAsia="黑体"/>
          <w:color w:val="000000"/>
          <w:sz w:val="32"/>
          <w:szCs w:val="32"/>
        </w:rPr>
        <w:t>算情况说明</w:t>
      </w:r>
      <w:bookmarkStart w:id="4" w:name="_GoBack"/>
      <w:bookmarkEnd w:id="4"/>
    </w:p>
    <w:p>
      <w:pPr>
        <w:spacing w:line="560" w:lineRule="exact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一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部门主要职责及机构设置</w:t>
      </w:r>
      <w:r>
        <w:rPr>
          <w:rFonts w:ascii="仿宋_GB2312" w:eastAsia="仿宋_GB2312"/>
          <w:b/>
          <w:color w:val="000000"/>
          <w:sz w:val="32"/>
          <w:szCs w:val="32"/>
        </w:rPr>
        <w:t>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年部门决算收支及增减变化情况说明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（一）收入决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（二）支出决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ascii="仿宋_GB2312" w:eastAsia="仿宋_GB2312"/>
          <w:b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三、主要支出情况</w:t>
      </w:r>
    </w:p>
    <w:p>
      <w:pPr>
        <w:spacing w:line="560" w:lineRule="exact"/>
        <w:ind w:firstLine="800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四、</w:t>
      </w:r>
      <w:r>
        <w:rPr>
          <w:rFonts w:ascii="仿宋_GB2312" w:eastAsia="仿宋_GB2312"/>
          <w:b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三公</w:t>
      </w:r>
      <w:r>
        <w:rPr>
          <w:rFonts w:ascii="仿宋_GB2312" w:eastAsia="仿宋_GB2312"/>
          <w:b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经费</w:t>
      </w:r>
      <w:r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五</w:t>
      </w:r>
      <w:r>
        <w:rPr>
          <w:rFonts w:ascii="仿宋_GB2312" w:eastAsia="仿宋_GB2312"/>
          <w:b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（一）机关运行经费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执行情况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执行情况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（四）绩效目标情况及绩效评价结果说明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算</w:t>
      </w:r>
      <w:r>
        <w:rPr>
          <w:rFonts w:ascii="仿宋_GB2312" w:eastAsia="仿宋_GB2312"/>
          <w:color w:val="000000"/>
          <w:sz w:val="32"/>
          <w:szCs w:val="32"/>
        </w:rPr>
        <w:t>拨款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收支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（六）政府性基金预算情况说明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960" w:firstLineChars="3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六</w:t>
      </w:r>
      <w:r>
        <w:rPr>
          <w:rFonts w:ascii="仿宋_GB2312" w:eastAsia="仿宋_GB2312"/>
          <w:b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解释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2160" w:firstLineChars="600"/>
        <w:rPr>
          <w:rFonts w:ascii="楷体" w:eastAsia="楷体"/>
          <w:b/>
          <w:color w:val="000000"/>
          <w:sz w:val="36"/>
          <w:szCs w:val="36"/>
        </w:rPr>
      </w:pPr>
      <w:r>
        <w:rPr>
          <w:rFonts w:hint="eastAsia" w:ascii="楷体" w:eastAsia="楷体"/>
          <w:b/>
          <w:color w:val="000000"/>
          <w:sz w:val="36"/>
          <w:szCs w:val="36"/>
        </w:rPr>
        <w:t>第一部分</w:t>
      </w:r>
      <w:r>
        <w:rPr>
          <w:rFonts w:ascii="楷体" w:eastAsia="楷体"/>
          <w:b/>
          <w:color w:val="000000"/>
          <w:sz w:val="36"/>
          <w:szCs w:val="36"/>
        </w:rPr>
        <w:t>、</w:t>
      </w:r>
      <w:r>
        <w:rPr>
          <w:rFonts w:hint="eastAsia" w:ascii="楷体" w:eastAsia="楷体"/>
          <w:b/>
          <w:color w:val="000000"/>
          <w:sz w:val="36"/>
          <w:szCs w:val="36"/>
        </w:rPr>
        <w:t>202</w:t>
      </w:r>
      <w:r>
        <w:rPr>
          <w:rFonts w:hint="eastAsia" w:ascii="楷体" w:eastAsia="楷体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楷体" w:eastAsia="楷体"/>
          <w:b/>
          <w:color w:val="000000"/>
          <w:sz w:val="36"/>
          <w:szCs w:val="36"/>
        </w:rPr>
        <w:t>年</w:t>
      </w:r>
      <w:r>
        <w:rPr>
          <w:rFonts w:ascii="楷体" w:eastAsia="楷体"/>
          <w:b/>
          <w:color w:val="000000"/>
          <w:sz w:val="36"/>
          <w:szCs w:val="36"/>
        </w:rPr>
        <w:t>部门</w:t>
      </w:r>
      <w:r>
        <w:rPr>
          <w:rFonts w:hint="eastAsia" w:ascii="楷体" w:eastAsia="楷体"/>
          <w:b/>
          <w:color w:val="000000"/>
          <w:sz w:val="36"/>
          <w:szCs w:val="36"/>
        </w:rPr>
        <w:t>决</w:t>
      </w:r>
      <w:r>
        <w:rPr>
          <w:rFonts w:ascii="楷体" w:eastAsia="楷体"/>
          <w:b/>
          <w:color w:val="000000"/>
          <w:sz w:val="36"/>
          <w:szCs w:val="36"/>
        </w:rPr>
        <w:t>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一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部门主要职责及机构设置情况</w:t>
      </w:r>
    </w:p>
    <w:p>
      <w:pPr>
        <w:spacing w:line="360" w:lineRule="auto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部门</w:t>
      </w:r>
      <w:r>
        <w:rPr>
          <w:rFonts w:ascii="仿宋_GB2312" w:eastAsia="仿宋_GB2312"/>
          <w:b/>
          <w:color w:val="000000"/>
          <w:sz w:val="32"/>
          <w:szCs w:val="32"/>
        </w:rPr>
        <w:t>机构设置、职责</w:t>
      </w:r>
    </w:p>
    <w:p>
      <w:pPr>
        <w:spacing w:line="360" w:lineRule="auto"/>
        <w:ind w:firstLine="640" w:firstLineChars="200"/>
        <w:rPr>
          <w:rFonts w:ascii="楷体" w:hAnsi="楷体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中共北京市委、北京市人民政府批准的《北京市西城区人民政府机构改革方案》，设立北京市西城区园林绿化局（简称区园林绿化局），挂北京市西城区绿化委员会办公室（简称区绿化办）牌子。区园林绿化局（区绿化办）是负责本区园林绿化工作的区政府工作部门。</w:t>
      </w:r>
    </w:p>
    <w:p>
      <w:pPr>
        <w:spacing w:line="360" w:lineRule="auto"/>
        <w:ind w:firstLine="713" w:firstLineChars="223"/>
        <w:rPr>
          <w:rFonts w:ascii="楷体" w:hAnsi="楷体" w:eastAsia="仿宋"/>
          <w:sz w:val="32"/>
          <w:szCs w:val="32"/>
        </w:rPr>
      </w:pPr>
      <w:r>
        <w:rPr>
          <w:rFonts w:ascii="楷体" w:hAnsi="楷体" w:eastAsia="仿宋"/>
          <w:sz w:val="32"/>
          <w:szCs w:val="32"/>
        </w:rPr>
        <w:t>本部门包括本级预算单位</w:t>
      </w:r>
      <w:r>
        <w:rPr>
          <w:rFonts w:hint="eastAsia" w:ascii="楷体" w:hAnsi="楷体" w:eastAsia="仿宋"/>
          <w:sz w:val="32"/>
          <w:szCs w:val="32"/>
        </w:rPr>
        <w:t>区园林绿化局（区绿化办）</w:t>
      </w:r>
      <w:r>
        <w:rPr>
          <w:rFonts w:ascii="楷体" w:hAnsi="楷体" w:eastAsia="仿宋"/>
          <w:sz w:val="32"/>
          <w:szCs w:val="32"/>
        </w:rPr>
        <w:t>，和下属二级预算单位五个，分别是区公园管理中心、人定湖公园管理处、月坛公园管理处、宣武艺园管理处和万寿公园管理处。</w:t>
      </w:r>
    </w:p>
    <w:p>
      <w:pPr>
        <w:spacing w:line="360" w:lineRule="auto"/>
        <w:ind w:firstLine="713" w:firstLineChars="223"/>
        <w:rPr>
          <w:rFonts w:ascii="楷体" w:hAnsi="楷体" w:eastAsia="仿宋"/>
          <w:sz w:val="32"/>
          <w:szCs w:val="32"/>
        </w:rPr>
      </w:pPr>
      <w:r>
        <w:rPr>
          <w:rFonts w:ascii="楷体" w:hAnsi="楷体" w:eastAsia="仿宋"/>
          <w:sz w:val="32"/>
          <w:szCs w:val="32"/>
        </w:rPr>
        <w:t>区园林绿化局（区绿化办）</w:t>
      </w:r>
      <w:r>
        <w:rPr>
          <w:rFonts w:hint="eastAsia" w:ascii="楷体" w:hAnsi="楷体" w:eastAsia="仿宋"/>
          <w:sz w:val="32"/>
          <w:szCs w:val="32"/>
        </w:rPr>
        <w:t>是负责本区园林绿化工作的区政府工作部门，内设6个科室。</w:t>
      </w:r>
      <w:r>
        <w:rPr>
          <w:rFonts w:ascii="楷体" w:hAnsi="楷体" w:eastAsia="仿宋"/>
          <w:sz w:val="32"/>
          <w:szCs w:val="32"/>
        </w:rPr>
        <w:t>区公园管理中心是负责区属四个公园的管理部门，内设7个科室。四个公园管理处分别负责公园的建设和管理。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本年增加4个公益一类事业单位，主要由于原区园林市政管理中心改制后，四个区属公园转为我局下属二级单位所致。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主要职责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（一）贯彻落实国家关于园林绿化工作的法律、法规、规章、政策和北京市的相关规定，制定本区园林绿化发展中长期规划和年度计划，</w:t>
      </w:r>
      <w:r>
        <w:rPr>
          <w:rFonts w:hint="eastAsia" w:ascii="楷体" w:hAnsi="楷体" w:eastAsia="仿宋"/>
          <w:color w:val="000000"/>
          <w:sz w:val="32"/>
          <w:szCs w:val="32"/>
        </w:rPr>
        <w:t>会同有关部门编制城市园林专业规划和绿地系统详细规划，并组织实施。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（二）组织、指导和监督本区城市绿化美化养护管理工作；负责园林绿化重点工程的监督检查工作；组织、协调重大活动的绿化美化及环境布置工作。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（三）承担管理和保护本区绿地和林木资源的责任；负责林木资源的调查评估、动态监测、统计分析等工作。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（四）组织落实园林绿化的地方标准和规范</w:t>
      </w:r>
      <w:r>
        <w:rPr>
          <w:rFonts w:hint="eastAsia" w:ascii="楷体" w:hAnsi="楷体" w:eastAsia="仿宋"/>
          <w:sz w:val="32"/>
          <w:szCs w:val="32"/>
        </w:rPr>
        <w:t>；负责本区园林绿化建设项目的立项和专项资金使用的</w:t>
      </w:r>
      <w:r>
        <w:rPr>
          <w:rFonts w:hint="eastAsia" w:ascii="楷体" w:hAnsi="楷体" w:eastAsia="仿宋"/>
          <w:color w:val="000000"/>
          <w:sz w:val="32"/>
          <w:szCs w:val="32"/>
        </w:rPr>
        <w:t>监督工作；组织、指导园林绿化的节能减排工作。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（五）承担保护本区野生动植物的责任；依法组织开展生物多样性保护和林木种质资源保护工作，组织、指导林木、绿地有害生物的监测、检疫和防治工作。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（六）负责本区公园、风景名胜区的行业管理；组织编制本区公园、风景名胜区发展规划，监督、指导公园、风景名胜区的建设和管理；负责公园、风景名胜区资源调查和评估工作。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（七）拟订本区园林绿化科技发展规划和年度计划，指导相关重大科技项目的研究、开发和推广；负责园林绿化信息化的管理；负责组织、指导、协调林业碳汇工作；负责园林绿化方面的对外交流与合作。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（八）负责本区园林绿化的普法教育、宣传工作及绿线管理和行政执法工作。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（九）承担本区绿化委员会的具体工作；负责本区全民义务植树活动的宣传发动、组织协调、监督检查和组织评定工作。</w:t>
      </w:r>
    </w:p>
    <w:p>
      <w:pPr>
        <w:spacing w:line="360" w:lineRule="auto"/>
        <w:ind w:firstLine="640" w:firstLineChars="200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（十）组织、协调园林应急情况的抢险、救灾和防汛险情处置工作。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（十一）承办区政府和上级业务指导部门交办的其他事项。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安全监管职责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1.负责区域内园林绿化安全生产工作的行业监督管理，指导区</w:t>
      </w:r>
      <w:r>
        <w:rPr>
          <w:rFonts w:hint="eastAsia" w:ascii="楷体" w:hAnsi="楷体" w:eastAsia="仿宋"/>
          <w:color w:val="000000"/>
          <w:sz w:val="32"/>
          <w:szCs w:val="32"/>
        </w:rPr>
        <w:t>相关部门</w:t>
      </w:r>
      <w:r>
        <w:rPr>
          <w:rFonts w:hint="eastAsia" w:ascii="楷体" w:hAnsi="楷体" w:eastAsia="仿宋"/>
          <w:sz w:val="32"/>
          <w:szCs w:val="32"/>
        </w:rPr>
        <w:t>开展园林绿化养护及施工，以及区属公园、景区的安全生产工作。</w:t>
      </w:r>
    </w:p>
    <w:p>
      <w:pPr>
        <w:spacing w:line="360" w:lineRule="auto"/>
        <w:ind w:firstLine="640" w:firstLineChars="200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2.在履行法律法规规定的行政许可职责中，对涉及安全的有关事项严格按照有关规定审查把关，对已批准的行政许可事项和未经批准擅自从事有关活动的，依法承担相应的监管或管理责任，超出职责范围的及时报告区政府或告知有关部门处理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highlight w:val="none"/>
        </w:rPr>
        <w:t>人员</w:t>
      </w:r>
      <w:r>
        <w:rPr>
          <w:rFonts w:ascii="仿宋_GB2312" w:eastAsia="仿宋_GB2312"/>
          <w:b/>
          <w:color w:val="000000"/>
          <w:sz w:val="32"/>
          <w:szCs w:val="32"/>
          <w:highlight w:val="none"/>
        </w:rPr>
        <w:t>构成情况</w:t>
      </w:r>
      <w:r>
        <w:rPr>
          <w:rFonts w:hint="eastAsia" w:ascii="仿宋_GB2312" w:eastAsia="仿宋_GB2312"/>
          <w:b/>
          <w:color w:val="000000"/>
          <w:sz w:val="32"/>
          <w:szCs w:val="32"/>
          <w:highlight w:val="none"/>
        </w:rPr>
        <w:t>: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我部门行政单位一个，</w:t>
      </w:r>
      <w:r>
        <w:rPr>
          <w:rFonts w:hint="eastAsia" w:ascii="仿宋" w:hAnsi="仿宋" w:eastAsia="仿宋"/>
          <w:sz w:val="32"/>
          <w:szCs w:val="32"/>
          <w:highlight w:val="none"/>
        </w:rPr>
        <w:t>公益一类事业单位5个。2020年末，行政在职人员32人，退休人员51人（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均</w:t>
      </w:r>
      <w:r>
        <w:rPr>
          <w:rFonts w:hint="eastAsia" w:ascii="仿宋" w:hAnsi="仿宋" w:eastAsia="仿宋"/>
          <w:sz w:val="32"/>
          <w:szCs w:val="32"/>
          <w:highlight w:val="none"/>
        </w:rPr>
        <w:t>由社保直接发放退休养老金），事业在职人员2020年末84人，2021年末145人，退休人员2020年末84人，2021年末145人（56人由社保直接发放退休养老金）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default" w:ascii="华文仿宋" w:eastAsia="华文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增减变动原因是：其中4个公园为本年新划转到我部门的事业单位。</w:t>
      </w:r>
    </w:p>
    <w:p>
      <w:pPr>
        <w:spacing w:line="360" w:lineRule="auto"/>
        <w:ind w:firstLine="64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" w:eastAsia="仿宋" w:cs="Times New Roman"/>
          <w:b/>
          <w:sz w:val="32"/>
          <w:szCs w:val="32"/>
        </w:rPr>
        <w:t>部门汇总编制决算所属二级预算单位个数及相关情况说明:</w:t>
      </w:r>
      <w:r>
        <w:rPr>
          <w:rFonts w:hint="eastAsia" w:ascii="仿宋_GB2312" w:eastAsia="仿宋_GB2312" w:cs="仿宋_GB2312"/>
          <w:sz w:val="28"/>
          <w:szCs w:val="28"/>
        </w:rPr>
        <w:t>根据市委机构编制委员会办公室批复精神，我局稳步推进西城区公园管理中心的组建工作，经区委机构编制委员会审核通过，于2020年10月16日正式挂牌成立区公园管理中心，为我局下属二级预算单位</w:t>
      </w:r>
      <w:r>
        <w:rPr>
          <w:rFonts w:ascii="仿宋_GB2312" w:eastAsia="仿宋_GB2312" w:cs="仿宋_GB2312"/>
          <w:sz w:val="28"/>
          <w:szCs w:val="28"/>
        </w:rPr>
        <w:t>，共包括西城区公园管理中心、月坛公园管理处、人定湖公园管理处、宣武艺园管理处和万寿公园管理处5家二级预算单位</w:t>
      </w:r>
      <w:r>
        <w:rPr>
          <w:rFonts w:hint="eastAsia" w:ascii="仿宋_GB2312" w:eastAsia="仿宋_GB2312" w:cs="仿宋_GB2312"/>
          <w:sz w:val="28"/>
          <w:szCs w:val="28"/>
        </w:rPr>
        <w:t>。</w:t>
      </w:r>
    </w:p>
    <w:p>
      <w:pPr>
        <w:spacing w:line="360" w:lineRule="auto"/>
        <w:ind w:left="0"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年部门决算收支及增减变化情况说明</w:t>
      </w:r>
    </w:p>
    <w:p>
      <w:pPr>
        <w:spacing w:line="360" w:lineRule="auto"/>
        <w:ind w:firstLine="555"/>
        <w:outlineLvl w:val="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(一)收入决算说明</w:t>
      </w:r>
    </w:p>
    <w:p>
      <w:pPr>
        <w:spacing w:line="360" w:lineRule="auto"/>
        <w:ind w:firstLine="640" w:firstLineChars="200"/>
        <w:rPr>
          <w:rFonts w:hint="eastAsia" w:asci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sz w:val="32"/>
          <w:szCs w:val="32"/>
          <w:highlight w:val="none"/>
        </w:rPr>
        <w:t>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eastAsia="仿宋"/>
          <w:sz w:val="32"/>
          <w:szCs w:val="32"/>
          <w:highlight w:val="none"/>
        </w:rPr>
        <w:t>年收入决算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11279.56</w:t>
      </w:r>
      <w:r>
        <w:rPr>
          <w:rFonts w:hint="eastAsia" w:ascii="仿宋" w:eastAsia="仿宋"/>
          <w:sz w:val="32"/>
          <w:szCs w:val="32"/>
          <w:highlight w:val="none"/>
        </w:rPr>
        <w:t>万元，比年初一般公共预算财政拨款预算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9126.82</w:t>
      </w:r>
      <w:r>
        <w:rPr>
          <w:rFonts w:hint="eastAsia" w:ascii="仿宋" w:eastAsia="仿宋"/>
          <w:sz w:val="32"/>
          <w:szCs w:val="32"/>
          <w:highlight w:val="none"/>
        </w:rPr>
        <w:t>万元增加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2152.74</w:t>
      </w:r>
      <w:r>
        <w:rPr>
          <w:rFonts w:hint="eastAsia" w:ascii="仿宋" w:eastAsia="仿宋"/>
          <w:sz w:val="32"/>
          <w:szCs w:val="32"/>
          <w:highlight w:val="none"/>
        </w:rPr>
        <w:t>万元,增长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23.59</w:t>
      </w:r>
      <w:r>
        <w:rPr>
          <w:rFonts w:hint="eastAsia" w:ascii="仿宋" w:eastAsia="仿宋"/>
          <w:sz w:val="32"/>
          <w:szCs w:val="32"/>
          <w:highlight w:val="none"/>
        </w:rPr>
        <w:t xml:space="preserve"> %，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。其中：一般公共预算财政拨款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11279.56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eastAsia="仿宋"/>
          <w:sz w:val="32"/>
          <w:szCs w:val="32"/>
          <w:highlight w:val="none"/>
        </w:rPr>
        <w:t>政府性基金预算财政拨款0万元。</w:t>
      </w:r>
      <w:r>
        <w:rPr>
          <w:rFonts w:hint="eastAsia" w:ascii="仿宋_GB2312" w:eastAsia="仿宋_GB2312"/>
          <w:sz w:val="32"/>
          <w:szCs w:val="32"/>
          <w:highlight w:val="none"/>
        </w:rPr>
        <w:t>增加变动原因是由于2020年新增的公园管理中心只有最后一个月的机动运行调整经费，2021年实际增加了5个事业单位的正常经费所致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555"/>
        <w:outlineLvl w:val="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(二)支出决算说明</w:t>
      </w:r>
    </w:p>
    <w:p>
      <w:pPr>
        <w:spacing w:line="360" w:lineRule="auto"/>
        <w:ind w:firstLine="480" w:firstLineChars="15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eastAsia="仿宋"/>
          <w:sz w:val="32"/>
          <w:szCs w:val="32"/>
        </w:rPr>
        <w:t>年支出决算按用途划分：</w:t>
      </w:r>
    </w:p>
    <w:p>
      <w:pPr>
        <w:spacing w:line="360" w:lineRule="auto"/>
        <w:ind w:firstLine="480" w:firstLineChars="150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</w:rPr>
        <w:t>1、202</w:t>
      </w:r>
      <w:r>
        <w:rPr>
          <w:rFonts w:hint="eastAsia" w:asci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eastAsia="仿宋"/>
          <w:sz w:val="32"/>
          <w:szCs w:val="32"/>
        </w:rPr>
        <w:t>年一般公共预算财政拨款支出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10446.76</w:t>
      </w:r>
      <w:r>
        <w:rPr>
          <w:rFonts w:hint="eastAsia" w:ascii="仿宋" w:eastAsia="仿宋"/>
          <w:sz w:val="32"/>
          <w:szCs w:val="32"/>
          <w:highlight w:val="none"/>
        </w:rPr>
        <w:t>万元,比年初预算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9126.82</w:t>
      </w:r>
      <w:r>
        <w:rPr>
          <w:rFonts w:hint="eastAsia" w:ascii="仿宋" w:eastAsia="仿宋"/>
          <w:sz w:val="32"/>
          <w:szCs w:val="32"/>
          <w:highlight w:val="none"/>
        </w:rPr>
        <w:t>万元增加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1319.94</w:t>
      </w:r>
      <w:r>
        <w:rPr>
          <w:rFonts w:hint="eastAsia" w:ascii="仿宋" w:eastAsia="仿宋"/>
          <w:sz w:val="32"/>
          <w:szCs w:val="32"/>
          <w:highlight w:val="none"/>
        </w:rPr>
        <w:t>万元,增长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14.46</w:t>
      </w:r>
      <w:r>
        <w:rPr>
          <w:rFonts w:hint="eastAsia" w:ascii="仿宋" w:eastAsia="仿宋"/>
          <w:sz w:val="32"/>
          <w:szCs w:val="32"/>
          <w:highlight w:val="none"/>
        </w:rPr>
        <w:t xml:space="preserve"> %。其中：</w:t>
      </w:r>
    </w:p>
    <w:p>
      <w:pPr>
        <w:spacing w:line="360" w:lineRule="auto"/>
        <w:ind w:firstLine="480" w:firstLineChars="150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（1）基本支出决算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6014.79</w:t>
      </w:r>
      <w:r>
        <w:rPr>
          <w:rFonts w:hint="eastAsia" w:ascii="仿宋" w:eastAsia="仿宋"/>
          <w:sz w:val="32"/>
          <w:szCs w:val="32"/>
          <w:highlight w:val="none"/>
        </w:rPr>
        <w:t>万元，比年初预算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6634.33</w:t>
      </w:r>
      <w:r>
        <w:rPr>
          <w:rFonts w:hint="eastAsia" w:ascii="仿宋" w:eastAsia="仿宋"/>
          <w:sz w:val="32"/>
          <w:szCs w:val="32"/>
          <w:highlight w:val="none"/>
        </w:rPr>
        <w:t>万元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619.54</w:t>
      </w:r>
      <w:r>
        <w:rPr>
          <w:rFonts w:hint="eastAsia" w:ascii="仿宋" w:eastAsia="仿宋"/>
          <w:sz w:val="32"/>
          <w:szCs w:val="32"/>
          <w:highlight w:val="none"/>
        </w:rPr>
        <w:t>万元，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降低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9.34</w:t>
      </w:r>
      <w:r>
        <w:rPr>
          <w:rFonts w:hint="eastAsia" w:ascii="仿宋" w:eastAsia="仿宋"/>
          <w:sz w:val="32"/>
          <w:szCs w:val="32"/>
          <w:highlight w:val="none"/>
        </w:rPr>
        <w:t>%。主要原因是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公用经费和人员经费减少</w:t>
      </w:r>
      <w:r>
        <w:rPr>
          <w:rFonts w:hint="eastAsia" w:ascii="仿宋" w:eastAsia="仿宋"/>
          <w:sz w:val="32"/>
          <w:szCs w:val="32"/>
          <w:highlight w:val="none"/>
        </w:rPr>
        <w:t>所致。</w:t>
      </w:r>
    </w:p>
    <w:p>
      <w:pPr>
        <w:spacing w:line="360" w:lineRule="auto"/>
        <w:ind w:firstLine="480" w:firstLineChars="150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（2）项目支出决算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4431.97</w:t>
      </w:r>
      <w:r>
        <w:rPr>
          <w:rFonts w:hint="eastAsia" w:ascii="仿宋" w:eastAsia="仿宋"/>
          <w:sz w:val="32"/>
          <w:szCs w:val="32"/>
          <w:highlight w:val="none"/>
        </w:rPr>
        <w:t>万元,比年初预算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2492.48</w:t>
      </w:r>
      <w:r>
        <w:rPr>
          <w:rFonts w:hint="eastAsia" w:ascii="仿宋" w:eastAsia="仿宋"/>
          <w:sz w:val="32"/>
          <w:szCs w:val="32"/>
          <w:highlight w:val="none"/>
        </w:rPr>
        <w:t>万元增加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1939.49</w:t>
      </w:r>
      <w:r>
        <w:rPr>
          <w:rFonts w:hint="eastAsia" w:ascii="仿宋" w:eastAsia="仿宋"/>
          <w:sz w:val="32"/>
          <w:szCs w:val="32"/>
          <w:highlight w:val="none"/>
        </w:rPr>
        <w:t>万元,增长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77.81</w:t>
      </w:r>
      <w:r>
        <w:rPr>
          <w:rFonts w:hint="eastAsia" w:ascii="仿宋" w:eastAsia="仿宋"/>
          <w:sz w:val="32"/>
          <w:szCs w:val="32"/>
          <w:highlight w:val="none"/>
        </w:rPr>
        <w:t xml:space="preserve"> %。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主要原因</w:t>
      </w:r>
      <w:r>
        <w:rPr>
          <w:rFonts w:hint="eastAsia" w:ascii="仿宋" w:eastAsia="仿宋"/>
          <w:color w:val="000000"/>
          <w:sz w:val="32"/>
          <w:szCs w:val="32"/>
          <w:highlight w:val="none"/>
          <w:lang w:eastAsia="zh-CN"/>
        </w:rPr>
        <w:t>是增加</w:t>
      </w:r>
      <w:r>
        <w:rPr>
          <w:rFonts w:hint="eastAsia" w:ascii="仿宋" w:eastAsia="仿宋"/>
          <w:color w:val="000000"/>
          <w:sz w:val="32"/>
          <w:szCs w:val="32"/>
          <w:highlight w:val="none"/>
          <w:lang w:val="en-US" w:eastAsia="zh-CN"/>
        </w:rPr>
        <w:t>市级资金项目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所致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2"/>
          <w:szCs w:val="32"/>
          <w:highlight w:val="none"/>
        </w:rPr>
        <w:t>2、政府性基金预算财政拨款</w:t>
      </w:r>
      <w:r>
        <w:rPr>
          <w:rFonts w:hint="eastAsia" w:ascii="仿宋" w:eastAsia="仿宋"/>
          <w:sz w:val="32"/>
          <w:szCs w:val="32"/>
        </w:rPr>
        <w:t>支出0万元。</w:t>
      </w:r>
      <w:r>
        <w:rPr>
          <w:rFonts w:hint="eastAsia" w:ascii="仿宋" w:eastAsia="仿宋"/>
          <w:sz w:val="30"/>
          <w:szCs w:val="30"/>
        </w:rPr>
        <w:t>（1）基本支出决算0万元。（2）项目支出决算0万元。</w:t>
      </w:r>
    </w:p>
    <w:p>
      <w:pPr>
        <w:spacing w:line="360" w:lineRule="auto"/>
        <w:ind w:firstLine="800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三</w:t>
      </w:r>
      <w:r>
        <w:rPr>
          <w:rFonts w:ascii="仿宋_GB2312" w:eastAsia="仿宋_GB2312"/>
          <w:b/>
          <w:color w:val="000000"/>
          <w:sz w:val="32"/>
          <w:szCs w:val="32"/>
        </w:rPr>
        <w:t>、主要支出情况</w:t>
      </w:r>
    </w:p>
    <w:p>
      <w:pPr>
        <w:snapToGrid w:val="0"/>
        <w:spacing w:line="360" w:lineRule="auto"/>
        <w:ind w:left="284" w:firstLine="320" w:firstLineChars="100"/>
        <w:rPr>
          <w:rFonts w:ascii="仿宋" w:eastAsia="仿宋"/>
          <w:sz w:val="32"/>
          <w:szCs w:val="32"/>
        </w:rPr>
      </w:pPr>
      <w:bookmarkStart w:id="0" w:name="_Toc25448"/>
      <w:bookmarkStart w:id="1" w:name="_Toc17531"/>
      <w:r>
        <w:rPr>
          <w:rFonts w:hint="eastAsia" w:ascii="仿宋" w:eastAsia="仿宋"/>
          <w:sz w:val="32"/>
          <w:szCs w:val="32"/>
        </w:rPr>
        <w:t>（一）基本支出主要包括</w:t>
      </w:r>
      <w:bookmarkEnd w:id="0"/>
      <w:bookmarkEnd w:id="1"/>
      <w:r>
        <w:rPr>
          <w:rFonts w:hint="eastAsia" w:ascii="仿宋" w:eastAsia="仿宋"/>
          <w:sz w:val="32"/>
          <w:szCs w:val="32"/>
        </w:rPr>
        <w:t>在职、离退休人员支出、个人和家庭补助支出、公用支出</w:t>
      </w:r>
      <w:bookmarkStart w:id="2" w:name="_Toc7025"/>
      <w:bookmarkStart w:id="3" w:name="_Toc3237"/>
      <w:r>
        <w:rPr>
          <w:rFonts w:hint="eastAsia" w:ascii="仿宋" w:eastAsia="仿宋"/>
          <w:sz w:val="32"/>
          <w:szCs w:val="32"/>
        </w:rPr>
        <w:t>。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cs="仿宋_GB2312"/>
          <w:color w:val="000000"/>
          <w:kern w:val="0"/>
          <w:sz w:val="30"/>
          <w:szCs w:val="30"/>
          <w:highlight w:val="yellow"/>
        </w:rPr>
      </w:pPr>
      <w:r>
        <w:rPr>
          <w:rFonts w:hint="eastAsia" w:ascii="仿宋" w:eastAsia="仿宋"/>
          <w:sz w:val="32"/>
          <w:szCs w:val="32"/>
        </w:rPr>
        <w:t>（二）项目支出主要</w:t>
      </w:r>
      <w:bookmarkEnd w:id="2"/>
      <w:bookmarkEnd w:id="3"/>
      <w:r>
        <w:rPr>
          <w:rFonts w:hint="eastAsia" w:ascii="仿宋" w:eastAsia="仿宋"/>
          <w:sz w:val="32"/>
          <w:szCs w:val="32"/>
        </w:rPr>
        <w:t>包括</w:t>
      </w:r>
      <w:r>
        <w:rPr>
          <w:rFonts w:hint="eastAsia" w:ascii="仿宋" w:eastAsia="仿宋"/>
          <w:sz w:val="30"/>
          <w:szCs w:val="30"/>
          <w:highlight w:val="none"/>
        </w:rPr>
        <w:t>①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2021西城区古树名木抢救复壮工程</w:t>
      </w:r>
      <w:r>
        <w:rPr>
          <w:rFonts w:hint="eastAsia" w:ascii="仿宋" w:eastAsia="仿宋"/>
          <w:sz w:val="32"/>
          <w:szCs w:val="32"/>
          <w:highlight w:val="none"/>
        </w:rPr>
        <w:t>②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2021年西城区古树名木体检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instrText xml:space="preserve"> = 3 \* GB3 \* MERGEFORMAT </w:instrTex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" w:eastAsia="仿宋"/>
          <w:sz w:val="30"/>
          <w:szCs w:val="30"/>
          <w:highlight w:val="none"/>
        </w:rPr>
        <w:t>③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华恒大厦4层、6层办公楼装修改造项目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instrText xml:space="preserve"> = 4 \* GB3 \* MERGEFORMAT </w:instrTex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④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公园安全保障项目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instrText xml:space="preserve"> = 5 \* GB3 \* MERGEFORMAT </w:instrTex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⑤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京财资环指【2020】1851号宣武艺园全龄友好公园建设工程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instrText xml:space="preserve"> = 6 \* GB3 \* MERGEFORMAT </w:instrTex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⑥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京财资环指【2020】1851号人定湖公园全龄友好公园建设工程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instrText xml:space="preserve"> = 7 \* GB3 \* MERGEFORMAT </w:instrTex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⑦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月坛公园作业管理经费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instrText xml:space="preserve"> = 8 \* GB3 \* MERGEFORMAT </w:instrTex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⑧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人定湖公园公园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作业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管理经费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instrText xml:space="preserve"> = 9 \* GB3 \* MERGEFORMAT </w:instrTex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⑨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公园作业管理经费</w:t>
      </w:r>
      <w:r>
        <w:rPr>
          <w:rFonts w:hint="eastAsia" w:ascii="仿宋" w:eastAsia="仿宋" w:cs="仿宋_GB2312"/>
          <w:color w:val="000000"/>
          <w:kern w:val="0"/>
          <w:sz w:val="30"/>
          <w:szCs w:val="30"/>
          <w:highlight w:val="none"/>
        </w:rPr>
        <w:t>等。</w:t>
      </w:r>
    </w:p>
    <w:p>
      <w:pPr>
        <w:spacing w:line="360" w:lineRule="auto"/>
        <w:ind w:firstLine="640" w:firstLineChars="200"/>
        <w:rPr>
          <w:rFonts w:ascii="仿宋" w:eastAsia="仿宋"/>
          <w:b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" w:eastAsia="仿宋"/>
          <w:b/>
          <w:color w:val="000000"/>
          <w:sz w:val="32"/>
          <w:szCs w:val="32"/>
        </w:rPr>
        <w:t>四、</w:t>
      </w:r>
      <w:r>
        <w:rPr>
          <w:rFonts w:ascii="仿宋" w:eastAsia="仿宋"/>
          <w:b/>
          <w:color w:val="000000"/>
          <w:sz w:val="32"/>
          <w:szCs w:val="32"/>
        </w:rPr>
        <w:t>部门“</w:t>
      </w:r>
      <w:r>
        <w:rPr>
          <w:rFonts w:hint="eastAsia" w:ascii="仿宋" w:eastAsia="仿宋"/>
          <w:b/>
          <w:sz w:val="32"/>
          <w:szCs w:val="32"/>
        </w:rPr>
        <w:t>三公</w:t>
      </w:r>
      <w:r>
        <w:rPr>
          <w:rFonts w:ascii="仿宋" w:eastAsia="仿宋"/>
          <w:b/>
          <w:sz w:val="32"/>
          <w:szCs w:val="32"/>
        </w:rPr>
        <w:t>”</w:t>
      </w:r>
      <w:r>
        <w:rPr>
          <w:rFonts w:hint="eastAsia" w:ascii="仿宋" w:eastAsia="仿宋"/>
          <w:b/>
          <w:sz w:val="32"/>
          <w:szCs w:val="32"/>
        </w:rPr>
        <w:t>经费</w:t>
      </w:r>
      <w:r>
        <w:rPr>
          <w:rFonts w:ascii="仿宋" w:eastAsia="仿宋"/>
          <w:b/>
          <w:sz w:val="32"/>
          <w:szCs w:val="32"/>
        </w:rPr>
        <w:t>财政拨款预算说明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360" w:lineRule="auto"/>
        <w:ind w:firstLine="646"/>
        <w:rPr>
          <w:rFonts w:ascii="仿宋_GB2312" w:hAnsi="仿宋_GB2312" w:eastAsia="仿宋"/>
          <w:sz w:val="32"/>
          <w:szCs w:val="32"/>
        </w:rPr>
      </w:pPr>
      <w:r>
        <w:rPr>
          <w:rFonts w:hint="eastAsia" w:ascii="仿宋_GB2312" w:hAnsi="仿宋_GB2312" w:eastAsia="仿宋"/>
          <w:sz w:val="32"/>
          <w:szCs w:val="32"/>
        </w:rPr>
        <w:t>北京市西城区园林绿化局部门预算中因公出国（境）费、公务接待费、公务用车购置及运行维护费的支出单位包括</w:t>
      </w:r>
      <w:r>
        <w:rPr>
          <w:rFonts w:hint="eastAsia" w:ascii="仿宋_GB2312" w:hAnsi="仿宋_GB2312" w:eastAsia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"/>
          <w:sz w:val="32"/>
          <w:szCs w:val="32"/>
        </w:rPr>
        <w:t>个所属单位。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800" w:firstLineChars="250"/>
        <w:rPr>
          <w:rFonts w:hint="eastAsia" w:asci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</w:rPr>
        <w:t>1、“三公”经费支出情况：</w:t>
      </w:r>
    </w:p>
    <w:p>
      <w:pPr>
        <w:spacing w:line="360" w:lineRule="auto"/>
        <w:ind w:firstLine="640" w:firstLineChars="200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eastAsia="仿宋"/>
          <w:sz w:val="32"/>
          <w:szCs w:val="32"/>
        </w:rPr>
        <w:t>年本部门“三公经费”财政拨款决算数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11581.98</w:t>
      </w:r>
      <w:r>
        <w:rPr>
          <w:rFonts w:hint="eastAsia" w:ascii="仿宋" w:eastAsia="仿宋"/>
          <w:sz w:val="32"/>
          <w:szCs w:val="32"/>
          <w:highlight w:val="none"/>
        </w:rPr>
        <w:t>元，比“三公经费”财政拨款年初预算数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79303.08</w:t>
      </w:r>
      <w:r>
        <w:rPr>
          <w:rFonts w:hint="eastAsia" w:ascii="仿宋" w:eastAsia="仿宋"/>
          <w:sz w:val="32"/>
          <w:szCs w:val="32"/>
          <w:highlight w:val="none"/>
        </w:rPr>
        <w:t>元，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67721.1</w:t>
      </w:r>
      <w:r>
        <w:rPr>
          <w:rFonts w:hint="eastAsia" w:ascii="仿宋" w:eastAsia="仿宋"/>
          <w:sz w:val="32"/>
          <w:szCs w:val="32"/>
          <w:highlight w:val="none"/>
        </w:rPr>
        <w:t>元，主要有以下原因：</w:t>
      </w:r>
    </w:p>
    <w:p>
      <w:pPr>
        <w:spacing w:line="360" w:lineRule="auto"/>
        <w:ind w:left="14" w:leftChars="7" w:firstLine="622"/>
        <w:rPr>
          <w:rFonts w:ascii="仿宋" w:eastAsia="仿宋"/>
          <w:sz w:val="30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（1）</w:t>
      </w:r>
      <w:r>
        <w:rPr>
          <w:rFonts w:hint="eastAsia" w:ascii="仿宋" w:eastAsia="仿宋"/>
          <w:sz w:val="30"/>
          <w:szCs w:val="30"/>
          <w:highlight w:val="none"/>
        </w:rPr>
        <w:t>公务招待费支出0元，比</w:t>
      </w:r>
      <w:r>
        <w:rPr>
          <w:rFonts w:hint="eastAsia" w:ascii="仿宋" w:eastAsia="仿宋"/>
          <w:sz w:val="32"/>
          <w:szCs w:val="32"/>
          <w:highlight w:val="none"/>
        </w:rPr>
        <w:t>年初</w:t>
      </w:r>
      <w:r>
        <w:rPr>
          <w:rFonts w:hint="eastAsia" w:ascii="仿宋" w:eastAsia="仿宋"/>
          <w:sz w:val="30"/>
          <w:szCs w:val="30"/>
          <w:highlight w:val="none"/>
        </w:rPr>
        <w:t>财政预算数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33303.08</w:t>
      </w:r>
      <w:r>
        <w:rPr>
          <w:rFonts w:hint="eastAsia" w:ascii="仿宋" w:eastAsia="仿宋"/>
          <w:sz w:val="30"/>
          <w:szCs w:val="30"/>
          <w:highlight w:val="none"/>
        </w:rPr>
        <w:t>元，减少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33303.08</w:t>
      </w:r>
      <w:r>
        <w:rPr>
          <w:rFonts w:hint="eastAsia" w:ascii="仿宋" w:eastAsia="仿宋"/>
          <w:sz w:val="30"/>
          <w:szCs w:val="30"/>
          <w:highlight w:val="none"/>
        </w:rPr>
        <w:t>元</w:t>
      </w:r>
      <w:r>
        <w:rPr>
          <w:rFonts w:hint="eastAsia" w:ascii="仿宋" w:eastAsia="仿宋"/>
          <w:sz w:val="32"/>
          <w:szCs w:val="32"/>
          <w:highlight w:val="none"/>
        </w:rPr>
        <w:t>；与20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eastAsia="仿宋"/>
          <w:sz w:val="32"/>
          <w:szCs w:val="32"/>
          <w:highlight w:val="none"/>
        </w:rPr>
        <w:t>年决算数0元相同。202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eastAsia="仿宋"/>
          <w:sz w:val="32"/>
          <w:szCs w:val="32"/>
          <w:highlight w:val="none"/>
        </w:rPr>
        <w:t>年</w:t>
      </w:r>
      <w:r>
        <w:rPr>
          <w:rFonts w:hint="eastAsia" w:ascii="仿宋" w:eastAsia="仿宋"/>
          <w:kern w:val="0"/>
          <w:sz w:val="30"/>
          <w:highlight w:val="none"/>
        </w:rPr>
        <w:t>公务接待0批次，0人次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</w:p>
    <w:p>
      <w:pPr>
        <w:tabs>
          <w:tab w:val="left" w:pos="851"/>
        </w:tabs>
        <w:snapToGrid w:val="0"/>
        <w:spacing w:line="360" w:lineRule="auto"/>
        <w:ind w:firstLine="567"/>
        <w:rPr>
          <w:rFonts w:ascii="仿宋" w:eastAsia="仿宋"/>
          <w:sz w:val="30"/>
          <w:szCs w:val="30"/>
          <w:highlight w:val="none"/>
        </w:rPr>
      </w:pPr>
      <w:r>
        <w:rPr>
          <w:rFonts w:hint="eastAsia" w:ascii="仿宋" w:eastAsia="仿宋"/>
          <w:sz w:val="30"/>
          <w:szCs w:val="30"/>
          <w:highlight w:val="none"/>
        </w:rPr>
        <w:t>（2）公务用车运行维护费支出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11581.98</w:t>
      </w:r>
      <w:r>
        <w:rPr>
          <w:rFonts w:hint="eastAsia" w:ascii="仿宋" w:eastAsia="仿宋"/>
          <w:sz w:val="30"/>
          <w:szCs w:val="30"/>
          <w:highlight w:val="none"/>
        </w:rPr>
        <w:t>元，比年初财政预算数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46000</w:t>
      </w:r>
      <w:r>
        <w:rPr>
          <w:rFonts w:hint="eastAsia" w:ascii="仿宋" w:eastAsia="仿宋"/>
          <w:sz w:val="30"/>
          <w:szCs w:val="30"/>
          <w:highlight w:val="none"/>
        </w:rPr>
        <w:t>元</w:t>
      </w:r>
      <w:r>
        <w:rPr>
          <w:rFonts w:hint="eastAsia" w:ascii="仿宋" w:eastAsia="仿宋"/>
          <w:sz w:val="30"/>
          <w:szCs w:val="30"/>
          <w:highlight w:val="none"/>
          <w:lang w:eastAsia="zh-CN"/>
        </w:rPr>
        <w:t>，减少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34418.02元</w:t>
      </w:r>
      <w:r>
        <w:rPr>
          <w:rFonts w:hint="eastAsia" w:ascii="仿宋" w:eastAsia="仿宋"/>
          <w:sz w:val="30"/>
          <w:szCs w:val="30"/>
          <w:highlight w:val="none"/>
        </w:rPr>
        <w:t>；</w:t>
      </w:r>
      <w:r>
        <w:rPr>
          <w:rFonts w:hint="eastAsia" w:ascii="仿宋" w:eastAsia="仿宋"/>
          <w:sz w:val="32"/>
          <w:szCs w:val="32"/>
          <w:highlight w:val="none"/>
        </w:rPr>
        <w:t>比20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eastAsia="仿宋"/>
          <w:sz w:val="32"/>
          <w:szCs w:val="32"/>
          <w:highlight w:val="none"/>
        </w:rPr>
        <w:t>年决算数0</w:t>
      </w:r>
      <w:r>
        <w:rPr>
          <w:rFonts w:hint="eastAsia" w:ascii="仿宋" w:eastAsia="仿宋"/>
          <w:sz w:val="30"/>
          <w:szCs w:val="30"/>
          <w:highlight w:val="none"/>
        </w:rPr>
        <w:t>元</w:t>
      </w:r>
      <w:r>
        <w:rPr>
          <w:rFonts w:hint="eastAsia" w:ascii="仿宋" w:eastAsia="仿宋"/>
          <w:sz w:val="30"/>
          <w:szCs w:val="30"/>
          <w:highlight w:val="none"/>
          <w:lang w:eastAsia="zh-CN"/>
        </w:rPr>
        <w:t>增加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11581.98</w:t>
      </w:r>
      <w:r>
        <w:rPr>
          <w:rFonts w:hint="eastAsia" w:ascii="仿宋" w:eastAsia="仿宋"/>
          <w:sz w:val="30"/>
          <w:szCs w:val="30"/>
          <w:highlight w:val="none"/>
        </w:rPr>
        <w:t>元，主要</w:t>
      </w:r>
      <w:r>
        <w:rPr>
          <w:rFonts w:hint="eastAsia" w:ascii="仿宋" w:eastAsia="仿宋"/>
          <w:sz w:val="30"/>
          <w:szCs w:val="30"/>
          <w:highlight w:val="none"/>
          <w:lang w:eastAsia="zh-CN"/>
        </w:rPr>
        <w:t>划入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5家事业单位所致</w:t>
      </w:r>
      <w:r>
        <w:rPr>
          <w:rFonts w:hint="eastAsia" w:ascii="仿宋" w:eastAsia="仿宋"/>
          <w:sz w:val="30"/>
          <w:szCs w:val="30"/>
          <w:highlight w:val="none"/>
        </w:rPr>
        <w:t>。</w:t>
      </w:r>
    </w:p>
    <w:p>
      <w:pPr>
        <w:snapToGrid w:val="0"/>
        <w:spacing w:line="360" w:lineRule="auto"/>
        <w:rPr>
          <w:rFonts w:ascii="仿宋" w:eastAsia="仿宋"/>
          <w:sz w:val="30"/>
          <w:szCs w:val="30"/>
          <w:highlight w:val="none"/>
        </w:rPr>
      </w:pPr>
      <w:r>
        <w:rPr>
          <w:rFonts w:hint="eastAsia" w:ascii="仿宋" w:eastAsia="仿宋"/>
          <w:sz w:val="30"/>
          <w:szCs w:val="30"/>
          <w:highlight w:val="none"/>
        </w:rPr>
        <w:t xml:space="preserve">    （3）因公出国（境）支出0元，年初预算0元相同，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因公出国（境）团组数0个及人数0人</w:t>
      </w:r>
      <w:r>
        <w:rPr>
          <w:rFonts w:hint="eastAsia" w:ascii="仿宋" w:eastAsia="仿宋"/>
          <w:sz w:val="30"/>
          <w:szCs w:val="30"/>
          <w:highlight w:val="none"/>
        </w:rPr>
        <w:t>。与20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仿宋" w:eastAsia="仿宋"/>
          <w:sz w:val="30"/>
          <w:szCs w:val="30"/>
          <w:highlight w:val="none"/>
        </w:rPr>
        <w:t>年</w:t>
      </w:r>
      <w:r>
        <w:rPr>
          <w:rFonts w:hint="eastAsia" w:ascii="仿宋" w:eastAsia="仿宋"/>
          <w:sz w:val="32"/>
          <w:szCs w:val="32"/>
          <w:highlight w:val="none"/>
        </w:rPr>
        <w:t>决算数0</w:t>
      </w:r>
      <w:r>
        <w:rPr>
          <w:rFonts w:hint="eastAsia" w:ascii="仿宋" w:eastAsia="仿宋"/>
          <w:sz w:val="30"/>
          <w:szCs w:val="30"/>
          <w:highlight w:val="none"/>
        </w:rPr>
        <w:t>元相同，</w:t>
      </w:r>
      <w:r>
        <w:rPr>
          <w:rFonts w:hint="eastAsia" w:ascii="仿宋" w:eastAsia="仿宋" w:cs="仿宋"/>
          <w:bCs/>
          <w:color w:val="000000"/>
          <w:sz w:val="30"/>
          <w:szCs w:val="30"/>
          <w:highlight w:val="none"/>
        </w:rPr>
        <w:t>是因为我局20</w:t>
      </w:r>
      <w:r>
        <w:rPr>
          <w:rFonts w:hint="eastAsia" w:ascii="仿宋" w:eastAsia="仿宋" w:cs="仿宋"/>
          <w:bCs/>
          <w:color w:val="000000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仿宋" w:eastAsia="仿宋" w:cs="仿宋"/>
          <w:bCs/>
          <w:color w:val="000000"/>
          <w:sz w:val="30"/>
          <w:szCs w:val="30"/>
          <w:highlight w:val="none"/>
        </w:rPr>
        <w:t>年没有出国任务所致。</w:t>
      </w:r>
    </w:p>
    <w:p>
      <w:pPr>
        <w:widowControl/>
        <w:spacing w:line="360" w:lineRule="auto"/>
        <w:ind w:firstLine="480"/>
        <w:rPr>
          <w:rFonts w:asci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2、会议费支出情况：无。</w:t>
      </w:r>
    </w:p>
    <w:p>
      <w:pPr>
        <w:widowControl/>
        <w:spacing w:line="360" w:lineRule="auto"/>
        <w:ind w:firstLine="480"/>
        <w:rPr>
          <w:rFonts w:asci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3、培训费支出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3960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元。</w:t>
      </w:r>
    </w:p>
    <w:p>
      <w:pPr>
        <w:spacing w:line="360" w:lineRule="auto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五</w:t>
      </w:r>
      <w:r>
        <w:rPr>
          <w:rFonts w:ascii="仿宋_GB2312" w:eastAsia="仿宋_GB2312"/>
          <w:b/>
          <w:color w:val="000000"/>
          <w:sz w:val="32"/>
          <w:szCs w:val="32"/>
        </w:rPr>
        <w:t>、其他情况说明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600" w:firstLineChars="200"/>
        <w:rPr>
          <w:rFonts w:ascii="仿宋" w:eastAsia="仿宋"/>
          <w:kern w:val="0"/>
          <w:sz w:val="30"/>
          <w:szCs w:val="30"/>
          <w:highlight w:val="none"/>
        </w:rPr>
      </w:pPr>
      <w:r>
        <w:rPr>
          <w:rFonts w:hint="eastAsia" w:ascii="仿宋" w:eastAsia="仿宋" w:cs="Times New Roman"/>
          <w:sz w:val="30"/>
          <w:szCs w:val="30"/>
          <w:highlight w:val="none"/>
        </w:rPr>
        <w:t>202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eastAsia="仿宋" w:cs="Times New Roman"/>
          <w:sz w:val="30"/>
          <w:szCs w:val="30"/>
          <w:highlight w:val="none"/>
        </w:rPr>
        <w:t>年本部门履行一般行政事业管理职能、维持机关运行，用于一般公共预算安排的行政运行经费，合计</w:t>
      </w:r>
      <w:r>
        <w:rPr>
          <w:rFonts w:hint="eastAsia" w:ascii="仿宋" w:eastAsia="仿宋"/>
          <w:sz w:val="30"/>
          <w:szCs w:val="30"/>
          <w:highlight w:val="none"/>
        </w:rPr>
        <w:t>80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" w:eastAsia="仿宋"/>
          <w:sz w:val="30"/>
          <w:szCs w:val="30"/>
          <w:highlight w:val="none"/>
        </w:rPr>
        <w:t>3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</w:rPr>
        <w:t>万元。比20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</w:rPr>
        <w:t>年</w:t>
      </w:r>
      <w:r>
        <w:rPr>
          <w:rFonts w:hint="eastAsia" w:ascii="仿宋" w:eastAsia="仿宋"/>
          <w:sz w:val="30"/>
          <w:szCs w:val="30"/>
          <w:highlight w:val="none"/>
        </w:rPr>
        <w:t>80.71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</w:rPr>
        <w:t>万元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  <w:lang w:eastAsia="zh-CN"/>
        </w:rPr>
        <w:t>减少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</w:rPr>
        <w:t>了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  <w:lang w:val="en-US" w:eastAsia="zh-CN"/>
        </w:rPr>
        <w:t>0.4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</w:rPr>
        <w:t>万元，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  <w:lang w:eastAsia="zh-CN"/>
        </w:rPr>
        <w:t>下降</w:t>
      </w:r>
      <w:r>
        <w:rPr>
          <w:rFonts w:hint="eastAsia" w:ascii="仿宋" w:eastAsia="仿宋"/>
          <w:color w:val="000000"/>
          <w:kern w:val="0"/>
          <w:sz w:val="30"/>
          <w:szCs w:val="30"/>
          <w:highlight w:val="none"/>
        </w:rPr>
        <w:t>了</w:t>
      </w:r>
      <w:r>
        <w:rPr>
          <w:rFonts w:hint="eastAsia" w:ascii="仿宋" w:eastAsia="仿宋"/>
          <w:color w:val="000000"/>
          <w:kern w:val="0"/>
          <w:sz w:val="30"/>
          <w:szCs w:val="30"/>
          <w:highlight w:val="none"/>
          <w:lang w:val="en-US" w:eastAsia="zh-CN"/>
        </w:rPr>
        <w:t>0.5</w:t>
      </w:r>
      <w:r>
        <w:rPr>
          <w:rFonts w:hint="eastAsia" w:ascii="仿宋" w:eastAsia="仿宋"/>
          <w:color w:val="000000"/>
          <w:kern w:val="0"/>
          <w:sz w:val="30"/>
          <w:szCs w:val="30"/>
          <w:highlight w:val="none"/>
        </w:rPr>
        <w:t xml:space="preserve"> %</w:t>
      </w:r>
      <w:r>
        <w:rPr>
          <w:rFonts w:hint="eastAsia" w:ascii="仿宋" w:eastAsia="仿宋"/>
          <w:kern w:val="0"/>
          <w:sz w:val="30"/>
          <w:szCs w:val="30"/>
          <w:highlight w:val="none"/>
        </w:rPr>
        <w:t>。</w:t>
      </w:r>
    </w:p>
    <w:p>
      <w:pPr>
        <w:spacing w:line="360" w:lineRule="auto"/>
        <w:ind w:firstLine="480" w:firstLineChars="150"/>
        <w:jc w:val="left"/>
        <w:rPr>
          <w:rFonts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（二）政府</w:t>
      </w:r>
      <w:r>
        <w:rPr>
          <w:rFonts w:ascii="仿宋" w:eastAsia="仿宋"/>
          <w:color w:val="000000"/>
          <w:sz w:val="32"/>
          <w:szCs w:val="32"/>
          <w:highlight w:val="none"/>
        </w:rPr>
        <w:t>采购预算说明</w:t>
      </w:r>
    </w:p>
    <w:p>
      <w:pPr>
        <w:ind w:firstLine="709"/>
        <w:rPr>
          <w:rFonts w:hint="eastAsia" w:ascii="仿宋" w:eastAsia="仿宋" w:cs="Times New Roman"/>
          <w:sz w:val="30"/>
          <w:szCs w:val="30"/>
          <w:highlight w:val="none"/>
        </w:rPr>
      </w:pPr>
      <w:r>
        <w:rPr>
          <w:rFonts w:hint="eastAsia" w:ascii="仿宋" w:eastAsia="仿宋" w:cs="Times New Roman"/>
          <w:sz w:val="30"/>
          <w:szCs w:val="30"/>
          <w:highlight w:val="none"/>
        </w:rPr>
        <w:t>202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eastAsia="仿宋" w:cs="Times New Roman"/>
          <w:sz w:val="30"/>
          <w:szCs w:val="30"/>
          <w:highlight w:val="none"/>
        </w:rPr>
        <w:t>年涉及政府采购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支出</w:t>
      </w:r>
      <w:r>
        <w:rPr>
          <w:rFonts w:hint="eastAsia" w:ascii="仿宋" w:eastAsia="仿宋" w:cs="Times New Roman"/>
          <w:sz w:val="30"/>
          <w:szCs w:val="30"/>
          <w:highlight w:val="none"/>
        </w:rPr>
        <w:t>为2743.11万元，其中货物类为242.3万元，工程类为1697.90万元。服务类为802.91万元。</w:t>
      </w:r>
    </w:p>
    <w:p>
      <w:pPr>
        <w:ind w:firstLine="709"/>
        <w:rPr>
          <w:rFonts w:ascii="仿宋" w:eastAsia="仿宋" w:cs="Times New Roman"/>
          <w:sz w:val="30"/>
          <w:szCs w:val="30"/>
          <w:highlight w:val="none"/>
        </w:rPr>
      </w:pPr>
      <w:r>
        <w:rPr>
          <w:rFonts w:hint="eastAsia" w:ascii="仿宋" w:eastAsia="仿宋" w:cs="Times New Roman"/>
          <w:sz w:val="30"/>
          <w:szCs w:val="30"/>
          <w:highlight w:val="none"/>
        </w:rPr>
        <w:t>中小企业合同金额2598.60万元。</w:t>
      </w:r>
    </w:p>
    <w:p>
      <w:pPr>
        <w:spacing w:line="360" w:lineRule="auto"/>
        <w:ind w:firstLine="470" w:firstLineChars="147"/>
        <w:rPr>
          <w:rFonts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（三）政府购买服务</w:t>
      </w:r>
      <w:r>
        <w:rPr>
          <w:rFonts w:ascii="仿宋" w:eastAsia="仿宋"/>
          <w:color w:val="000000"/>
          <w:sz w:val="32"/>
          <w:szCs w:val="32"/>
          <w:highlight w:val="none"/>
        </w:rPr>
        <w:t>预算说明</w:t>
      </w:r>
    </w:p>
    <w:p>
      <w:pPr>
        <w:spacing w:line="360" w:lineRule="auto"/>
        <w:ind w:firstLine="600" w:firstLineChars="200"/>
        <w:rPr>
          <w:rFonts w:ascii="仿宋" w:eastAsia="仿宋" w:cs="Times New Roman"/>
          <w:sz w:val="30"/>
          <w:szCs w:val="30"/>
          <w:highlight w:val="none"/>
        </w:rPr>
      </w:pPr>
      <w:r>
        <w:rPr>
          <w:rFonts w:hint="eastAsia" w:ascii="仿宋" w:eastAsia="仿宋"/>
          <w:sz w:val="30"/>
          <w:szCs w:val="30"/>
        </w:rPr>
        <w:t>202</w:t>
      </w:r>
      <w:r>
        <w:rPr>
          <w:rFonts w:hint="eastAsia" w:asci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eastAsia="仿宋"/>
          <w:sz w:val="30"/>
          <w:szCs w:val="30"/>
        </w:rPr>
        <w:t>年</w:t>
      </w:r>
      <w:r>
        <w:rPr>
          <w:rFonts w:hint="eastAsia" w:ascii="仿宋" w:eastAsia="仿宋"/>
          <w:sz w:val="30"/>
          <w:szCs w:val="30"/>
          <w:lang w:eastAsia="zh-CN"/>
        </w:rPr>
        <w:t>不</w:t>
      </w:r>
      <w:r>
        <w:rPr>
          <w:rFonts w:hint="eastAsia" w:ascii="仿宋" w:eastAsia="仿宋"/>
          <w:sz w:val="30"/>
          <w:szCs w:val="30"/>
        </w:rPr>
        <w:t>涉及</w:t>
      </w:r>
      <w:r>
        <w:rPr>
          <w:rFonts w:hint="eastAsia" w:ascii="仿宋" w:eastAsia="仿宋"/>
          <w:sz w:val="30"/>
          <w:szCs w:val="30"/>
          <w:highlight w:val="none"/>
        </w:rPr>
        <w:t>政府购买服务。</w:t>
      </w:r>
    </w:p>
    <w:p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</w:t>
      </w:r>
      <w:r>
        <w:rPr>
          <w:rFonts w:ascii="仿宋_GB2312" w:eastAsia="仿宋_GB2312"/>
          <w:sz w:val="32"/>
          <w:szCs w:val="32"/>
        </w:rPr>
        <w:t>绩效目标情况</w:t>
      </w:r>
      <w:r>
        <w:rPr>
          <w:rFonts w:hint="eastAsia" w:ascii="仿宋_GB2312" w:eastAsia="仿宋_GB2312"/>
          <w:sz w:val="32"/>
          <w:szCs w:val="32"/>
        </w:rPr>
        <w:t>及绩效评价结果</w:t>
      </w:r>
      <w:r>
        <w:rPr>
          <w:rFonts w:ascii="仿宋_GB2312" w:eastAsia="仿宋_GB2312"/>
          <w:sz w:val="32"/>
          <w:szCs w:val="32"/>
        </w:rPr>
        <w:t>说明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cs="仿宋_GB2312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eastAsia="仿宋"/>
          <w:sz w:val="32"/>
          <w:szCs w:val="32"/>
        </w:rPr>
        <w:t>年填报绩效目标的重点项目为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eastAsia="仿宋"/>
          <w:sz w:val="32"/>
          <w:szCs w:val="32"/>
          <w:highlight w:val="none"/>
        </w:rPr>
        <w:t>个</w:t>
      </w:r>
      <w:r>
        <w:rPr>
          <w:rFonts w:hint="eastAsia" w:ascii="仿宋" w:eastAsia="仿宋"/>
          <w:sz w:val="30"/>
          <w:szCs w:val="30"/>
          <w:highlight w:val="none"/>
        </w:rPr>
        <w:t>①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2021西城区古树名木抢救复壮工程</w:t>
      </w:r>
      <w:r>
        <w:rPr>
          <w:rFonts w:hint="eastAsia" w:ascii="仿宋" w:eastAsia="仿宋"/>
          <w:sz w:val="32"/>
          <w:szCs w:val="32"/>
          <w:highlight w:val="none"/>
        </w:rPr>
        <w:t>②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2021年西城区古树名木体检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instrText xml:space="preserve"> = 3 \* GB3 \* MERGEFORMAT </w:instrTex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" w:eastAsia="仿宋"/>
          <w:sz w:val="30"/>
          <w:szCs w:val="30"/>
          <w:highlight w:val="none"/>
        </w:rPr>
        <w:t>③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华恒大厦4层、6层办公楼装修改造项目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instrText xml:space="preserve"> = 4 \* GB3 \* MERGEFORMAT </w:instrTex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④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公园安全保障项目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instrText xml:space="preserve"> = 5 \* GB3 \* MERGEFORMAT </w:instrTex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⑤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京财资环指【2020】1851号宣武艺园全龄友好公园建设工程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instrText xml:space="preserve"> = 6 \* GB3 \* MERGEFORMAT </w:instrTex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⑥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京财资环指【2020】1851号人定湖公园全龄友好公园建设工程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instrText xml:space="preserve"> = 7 \* GB3 \* MERGEFORMAT </w:instrTex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⑦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月坛公园作业管理经费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instrText xml:space="preserve"> = 8 \* GB3 \* MERGEFORMAT </w:instrTex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⑧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人定湖公园公园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作业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管理经费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instrText xml:space="preserve"> = 9 \* GB3 \* MERGEFORMAT </w:instrTex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⑨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公园作业管理经费</w:t>
      </w:r>
      <w:r>
        <w:rPr>
          <w:rFonts w:hint="eastAsia" w:ascii="仿宋" w:eastAsia="仿宋" w:cs="仿宋_GB2312"/>
          <w:color w:val="000000"/>
          <w:kern w:val="0"/>
          <w:sz w:val="30"/>
          <w:szCs w:val="30"/>
          <w:highlight w:val="none"/>
        </w:rPr>
        <w:t>。</w:t>
      </w:r>
    </w:p>
    <w:p>
      <w:pPr>
        <w:spacing w:line="360" w:lineRule="auto"/>
        <w:ind w:firstLine="645"/>
        <w:rPr>
          <w:rFonts w:ascii="仿宋" w:eastAsia="仿宋" w:cs="仿宋"/>
          <w:sz w:val="32"/>
          <w:szCs w:val="32"/>
          <w:highlight w:val="none"/>
        </w:rPr>
      </w:pPr>
      <w:r>
        <w:rPr>
          <w:rFonts w:hint="eastAsia" w:ascii="仿宋" w:eastAsia="仿宋" w:cs="仿宋"/>
          <w:sz w:val="32"/>
          <w:szCs w:val="32"/>
          <w:highlight w:val="none"/>
          <w:lang w:eastAsia="zh-CN"/>
        </w:rPr>
        <w:t>对</w:t>
      </w:r>
      <w:r>
        <w:rPr>
          <w:rFonts w:hint="eastAsia" w:asci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eastAsia="仿宋" w:cs="仿宋"/>
          <w:sz w:val="32"/>
          <w:szCs w:val="32"/>
          <w:highlight w:val="none"/>
        </w:rPr>
        <w:t>年度</w:t>
      </w:r>
      <w:r>
        <w:rPr>
          <w:rFonts w:hint="eastAsia" w:ascii="仿宋" w:eastAsia="仿宋" w:cs="仿宋"/>
          <w:sz w:val="32"/>
          <w:szCs w:val="32"/>
          <w:highlight w:val="none"/>
          <w:lang w:eastAsia="zh-CN"/>
        </w:rPr>
        <w:t>部门整体绩效进行自评，</w:t>
      </w:r>
      <w:r>
        <w:rPr>
          <w:rFonts w:hint="eastAsia" w:ascii="仿宋" w:eastAsia="仿宋" w:cs="仿宋"/>
          <w:sz w:val="32"/>
          <w:szCs w:val="32"/>
          <w:highlight w:val="none"/>
        </w:rPr>
        <w:t>评定级别</w:t>
      </w:r>
      <w:r>
        <w:rPr>
          <w:rFonts w:hint="eastAsia" w:ascii="仿宋" w:eastAsia="仿宋" w:cs="仿宋"/>
          <w:sz w:val="32"/>
          <w:szCs w:val="32"/>
          <w:highlight w:val="none"/>
          <w:lang w:eastAsia="zh-CN"/>
        </w:rPr>
        <w:t>为“良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/>
        </w:rPr>
        <w:t>-优秀</w:t>
      </w:r>
      <w:r>
        <w:rPr>
          <w:rFonts w:hint="eastAsia" w:ascii="仿宋" w:eastAsia="仿宋" w:cs="仿宋"/>
          <w:sz w:val="32"/>
          <w:szCs w:val="32"/>
          <w:highlight w:val="none"/>
          <w:lang w:eastAsia="zh-CN"/>
        </w:rPr>
        <w:t>”</w:t>
      </w:r>
      <w:r>
        <w:rPr>
          <w:rFonts w:hint="eastAsia" w:ascii="仿宋" w:eastAsia="仿宋" w:cs="仿宋"/>
          <w:sz w:val="32"/>
          <w:szCs w:val="32"/>
          <w:highlight w:val="none"/>
        </w:rPr>
        <w:t>。</w:t>
      </w:r>
    </w:p>
    <w:p>
      <w:pPr>
        <w:spacing w:line="360" w:lineRule="auto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五）国有</w:t>
      </w:r>
      <w:r>
        <w:rPr>
          <w:rFonts w:ascii="仿宋_GB2312" w:eastAsia="仿宋_GB2312"/>
          <w:color w:val="000000"/>
          <w:sz w:val="32"/>
          <w:szCs w:val="32"/>
        </w:rPr>
        <w:t>资本经营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640" w:firstLineChars="200"/>
        <w:rPr>
          <w:rFonts w:ascii="仿宋" w:eastAsia="仿宋" w:cs="仿宋_GB2312"/>
          <w:sz w:val="32"/>
          <w:szCs w:val="32"/>
          <w:highlight w:val="none"/>
        </w:rPr>
      </w:pPr>
      <w:r>
        <w:rPr>
          <w:rFonts w:hint="eastAsia" w:ascii="仿宋" w:eastAsia="仿宋" w:cs="仿宋_GB2312"/>
          <w:sz w:val="32"/>
          <w:szCs w:val="32"/>
        </w:rPr>
        <w:t>202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eastAsia="仿宋" w:cs="仿宋_GB2312"/>
          <w:sz w:val="32"/>
          <w:szCs w:val="32"/>
        </w:rPr>
        <w:t>年我局</w:t>
      </w:r>
      <w:r>
        <w:rPr>
          <w:rFonts w:hint="eastAsia" w:ascii="仿宋" w:eastAsia="仿宋" w:cs="仿宋_GB2312"/>
          <w:sz w:val="32"/>
          <w:szCs w:val="32"/>
          <w:highlight w:val="none"/>
        </w:rPr>
        <w:t>不属于国有资本经营预算拨款收支范围。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（六）政府性基金预算情况说明</w:t>
      </w:r>
    </w:p>
    <w:p>
      <w:pPr>
        <w:spacing w:line="560" w:lineRule="exact"/>
        <w:ind w:firstLine="640" w:firstLineChars="200"/>
        <w:rPr>
          <w:rFonts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 w:cs="仿宋_GB2312"/>
          <w:sz w:val="32"/>
          <w:szCs w:val="32"/>
        </w:rPr>
        <w:t>202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eastAsia="仿宋" w:cs="仿宋_GB2312"/>
          <w:sz w:val="32"/>
          <w:szCs w:val="32"/>
        </w:rPr>
        <w:t>年我局</w:t>
      </w:r>
      <w:r>
        <w:rPr>
          <w:rFonts w:hint="eastAsia" w:ascii="仿宋" w:eastAsia="仿宋" w:cs="仿宋_GB2312"/>
          <w:sz w:val="32"/>
          <w:szCs w:val="32"/>
          <w:highlight w:val="none"/>
        </w:rPr>
        <w:t>不涉及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政府性基金预算情况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</w:t>
      </w:r>
      <w:r>
        <w:rPr>
          <w:rFonts w:hint="eastAsia" w:ascii="仿宋_GB2312" w:eastAsia="仿宋_GB2312"/>
          <w:sz w:val="32"/>
          <w:szCs w:val="32"/>
        </w:rPr>
        <w:t>国有资产</w:t>
      </w:r>
      <w:r>
        <w:rPr>
          <w:rFonts w:ascii="仿宋_GB2312" w:eastAsia="仿宋_GB2312"/>
          <w:sz w:val="32"/>
          <w:szCs w:val="32"/>
        </w:rPr>
        <w:t>占用情况说明</w:t>
      </w:r>
    </w:p>
    <w:p>
      <w:pPr>
        <w:widowControl/>
        <w:spacing w:line="360" w:lineRule="auto"/>
        <w:ind w:firstLine="480"/>
        <w:rPr>
          <w:rFonts w:hint="eastAsia" w:ascii="仿宋" w:eastAsia="仿宋"/>
          <w:color w:val="000000"/>
          <w:sz w:val="32"/>
          <w:szCs w:val="32"/>
          <w:lang w:eastAsia="zh-CN"/>
        </w:rPr>
      </w:pPr>
      <w:r>
        <w:rPr>
          <w:rFonts w:ascii="仿宋" w:eastAsia="仿宋"/>
          <w:color w:val="000000"/>
          <w:sz w:val="32"/>
          <w:szCs w:val="32"/>
        </w:rPr>
        <w:t>截止</w:t>
      </w:r>
      <w:r>
        <w:rPr>
          <w:rFonts w:hint="eastAsia" w:ascii="仿宋" w:eastAsia="仿宋"/>
          <w:color w:val="000000"/>
          <w:sz w:val="32"/>
          <w:szCs w:val="32"/>
        </w:rPr>
        <w:t>202</w:t>
      </w:r>
      <w:r>
        <w:rPr>
          <w:rFonts w:hint="eastAsia" w:asci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eastAsia="仿宋"/>
          <w:color w:val="000000"/>
          <w:sz w:val="32"/>
          <w:szCs w:val="32"/>
        </w:rPr>
        <w:t>年</w:t>
      </w:r>
      <w:r>
        <w:rPr>
          <w:rFonts w:ascii="仿宋" w:eastAsia="仿宋"/>
          <w:color w:val="000000"/>
          <w:sz w:val="32"/>
          <w:szCs w:val="32"/>
        </w:rPr>
        <w:t>底</w:t>
      </w:r>
      <w:r>
        <w:rPr>
          <w:rFonts w:hint="eastAsia" w:ascii="仿宋" w:eastAsia="仿宋"/>
          <w:color w:val="000000"/>
          <w:sz w:val="32"/>
          <w:szCs w:val="32"/>
          <w:lang w:eastAsia="zh-CN"/>
        </w:rPr>
        <w:t>：</w:t>
      </w:r>
    </w:p>
    <w:p>
      <w:pPr>
        <w:widowControl/>
        <w:spacing w:line="360" w:lineRule="auto"/>
        <w:ind w:firstLine="48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1、资产信息情况。</w:t>
      </w:r>
    </w:p>
    <w:p>
      <w:pPr>
        <w:widowControl/>
        <w:spacing w:line="360" w:lineRule="auto"/>
        <w:ind w:firstLine="480"/>
        <w:rPr>
          <w:rFonts w:ascii="仿宋" w:hAnsi="仿宋" w:eastAsia="仿宋" w:cs="宋体"/>
          <w:color w:val="1A1A1A" w:themeColor="background1" w:themeShade="1A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2021年度固定资产总计2996.02万元，比2020年度235.59万元增加2760.43万元，</w:t>
      </w:r>
      <w:r>
        <w:rPr>
          <w:rFonts w:hint="eastAsia" w:ascii="仿宋" w:hAnsi="仿宋" w:eastAsia="仿宋" w:cs="宋体"/>
          <w:color w:val="1A1A1A" w:themeColor="background1" w:themeShade="1A"/>
          <w:kern w:val="0"/>
          <w:sz w:val="32"/>
          <w:szCs w:val="32"/>
        </w:rPr>
        <w:t>主要是增加二级单位所致。</w:t>
      </w:r>
    </w:p>
    <w:p>
      <w:pPr>
        <w:widowControl/>
        <w:spacing w:line="360" w:lineRule="auto"/>
        <w:ind w:firstLine="48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2、负债信息情况。</w:t>
      </w:r>
    </w:p>
    <w:p>
      <w:pPr>
        <w:widowControl/>
        <w:spacing w:line="360" w:lineRule="auto"/>
        <w:ind w:firstLine="48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2021年度负债总计14万元，比2020年度26.94万元减少12.94万元，主要是利息收入。</w:t>
      </w:r>
    </w:p>
    <w:p>
      <w:pPr>
        <w:spacing w:line="360" w:lineRule="auto"/>
        <w:ind w:firstLine="640" w:firstLineChars="200"/>
        <w:rPr>
          <w:rFonts w:ascii="仿宋" w:eastAsia="仿宋"/>
          <w:color w:val="000000"/>
          <w:sz w:val="32"/>
          <w:szCs w:val="32"/>
          <w:highlight w:val="yellow"/>
        </w:rPr>
      </w:pPr>
    </w:p>
    <w:p>
      <w:pPr>
        <w:spacing w:line="360" w:lineRule="auto"/>
        <w:ind w:firstLine="800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六</w:t>
      </w:r>
      <w:r>
        <w:rPr>
          <w:rFonts w:ascii="仿宋_GB2312" w:eastAsia="仿宋_GB2312"/>
          <w:b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解释</w:t>
      </w:r>
    </w:p>
    <w:p>
      <w:pPr>
        <w:spacing w:line="360" w:lineRule="auto"/>
        <w:ind w:firstLine="648"/>
        <w:rPr>
          <w:rFonts w:ascii="仿宋" w:eastAsia="仿宋"/>
        </w:rPr>
      </w:pPr>
      <w:r>
        <w:rPr>
          <w:rFonts w:hint="eastAsia" w:ascii="仿宋" w:eastAsia="仿宋"/>
          <w:sz w:val="32"/>
          <w:szCs w:val="32"/>
        </w:rPr>
        <w:t>机关运行经费是指为保障单位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footerReference r:id="rId3" w:type="default"/>
          <w:pgSz w:w="11906" w:h="16838"/>
          <w:pgMar w:top="851" w:right="1797" w:bottom="873" w:left="1797" w:header="851" w:footer="992" w:gutter="0"/>
          <w:docGrid w:type="linesAndChars" w:linePitch="312" w:charSpace="0"/>
        </w:sectPr>
      </w:pPr>
    </w:p>
    <w:p/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eastAsia="zh-CN"/>
        </w:rPr>
        <w:t>表</w:t>
      </w:r>
      <w:r>
        <w:rPr>
          <w:rFonts w:hint="eastAsia"/>
          <w:b/>
          <w:bCs/>
          <w:sz w:val="28"/>
          <w:szCs w:val="32"/>
          <w:lang w:val="en-US" w:eastAsia="zh-CN"/>
        </w:rPr>
        <w:t>1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8"/>
        <w:gridCol w:w="2214"/>
        <w:gridCol w:w="2395"/>
        <w:gridCol w:w="2728"/>
        <w:gridCol w:w="2215"/>
        <w:gridCol w:w="2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44" w:type="dxa"/>
            <w:gridSpan w:val="6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收入支出决算总表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807" w:type="dxa"/>
            <w:gridSpan w:val="3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单位名称：北京市西城区园林绿化局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80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项目(按功能分类)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9,126.816745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11,279.556573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17.545900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1,344.487055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1,185.097883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428.185165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410.204569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6,578.348380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6,005.549521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2,083.600327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758.250245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761.908600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9,126.816745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11,279.556573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9,126.816745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10,446.756900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使用非财政拨款结余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结余分配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―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年初结转和结余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2.000000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年末结转和结余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834.799673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9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9,126.816745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11,281.556573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9,126.816745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11,281.556573</w:t>
            </w:r>
          </w:p>
        </w:tc>
      </w:tr>
    </w:tbl>
    <w:p>
      <w:pPr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表2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382"/>
        <w:gridCol w:w="382"/>
        <w:gridCol w:w="1523"/>
        <w:gridCol w:w="2207"/>
        <w:gridCol w:w="2207"/>
        <w:gridCol w:w="1389"/>
        <w:gridCol w:w="1389"/>
        <w:gridCol w:w="1389"/>
        <w:gridCol w:w="1389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44" w:type="dxa"/>
            <w:gridSpan w:val="11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收入决算表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99" w:type="dxa"/>
            <w:gridSpan w:val="6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单位名称：北京市西城区园林绿化局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85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2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8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3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3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8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11,279.556573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11,279.556573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0.396000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0.396000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2050803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培训支出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0.396000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2050803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0.396000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1,185.097883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1,185.097883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1,171.067083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1,171.067083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27.648660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27.648660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27.648660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27.648660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635.177173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635.177173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事业单位离退休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635.177173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635.177173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387.502386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387.502386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387.502386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387.502386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120.738864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120.738864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120.738864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120.738864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死亡抚恤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死亡抚恤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410.204569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410.204569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410.204569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410.204569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252.737424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252.737424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252.737424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252.737424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157.467145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157.467145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157.467145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157.467145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6,005.549521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6,005.549521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6,005.549521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6,005.549521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6,005.549521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6,005.549521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6,005.549521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6,005.549521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2,916.400000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2,916.400000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2,916.400000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2,916.400000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2130205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森林资源培育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2,800.000000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2,800.000000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2130205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森林资源培育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2,800.000000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2,800.000000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2130299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其他林业和草原支出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116.400000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2130299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其他林业和草原支出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116.400000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761.908600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761.908600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761.908600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761.908600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416.742800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416.742800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416.742800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416.742800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11.579000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11.579000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11.579000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11.579000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333.586800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333.586800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62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333.586800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333.586800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</w:tbl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表3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382"/>
        <w:gridCol w:w="381"/>
        <w:gridCol w:w="1963"/>
        <w:gridCol w:w="2205"/>
        <w:gridCol w:w="2056"/>
        <w:gridCol w:w="2056"/>
        <w:gridCol w:w="1388"/>
        <w:gridCol w:w="1387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44" w:type="dxa"/>
            <w:gridSpan w:val="10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69" w:type="dxa"/>
            <w:gridSpan w:val="5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单位名称：北京市西城区园林绿化局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64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38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3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3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38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10,446.756900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6,014.789811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4,431.967089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0.196000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0.196000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培训支出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0.196000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0.196000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1,185.097883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1,185.097883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1,171.067083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1,171.067083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27.648660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27.648660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27.648660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27.648660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635.177173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635.177173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事业单位离退休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635.177173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635.177173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387.502386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387.502386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387.502386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387.502386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120.738864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120.738864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120.738864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120.738864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死亡抚恤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死亡抚恤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410.204569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410.204569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410.204569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410.204569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252.737424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252.737424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252.737424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252.737424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157.467145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157.467145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157.467145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157.467145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6,005.549521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3,657.382759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2,348.166762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6,005.549521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3,657.382759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2,348.166762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6,005.549521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3,657.382759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2,348.166762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6,005.549521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3,657.382759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2,348.166762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2,083.600327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2,083.600327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2,083.600327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2,083.600327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森林资源培育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1,990.602337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1,990.602337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森林资源培育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1,990.602337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1,990.602337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2130299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其他林业和草原支出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92.997990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92.997990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2130299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其他林业和草原支出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92.997990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92.997990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761.908600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761.908600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761.908600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761.908600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416.742800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416.742800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416.742800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416.742800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11.579000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11.579000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11.579000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11.579000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333.586800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333.586800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01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333.586800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333.586800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</w:tbl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表4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9"/>
        <w:gridCol w:w="7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44" w:type="dxa"/>
            <w:gridSpan w:val="2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政府采购情况表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5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5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5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单位名称：北京市西城区园林绿化局</w:t>
            </w:r>
          </w:p>
        </w:tc>
        <w:tc>
          <w:tcPr>
            <w:tcW w:w="7585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</w:t>
            </w:r>
          </w:p>
        </w:tc>
        <w:tc>
          <w:tcPr>
            <w:tcW w:w="7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政府采购支出信息</w:t>
            </w:r>
          </w:p>
        </w:tc>
        <w:tc>
          <w:tcPr>
            <w:tcW w:w="758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（一）政府采购支出合计</w:t>
            </w:r>
          </w:p>
        </w:tc>
        <w:tc>
          <w:tcPr>
            <w:tcW w:w="758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2,743.672812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1．政府采购货物支出</w:t>
            </w:r>
          </w:p>
        </w:tc>
        <w:tc>
          <w:tcPr>
            <w:tcW w:w="758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242.860000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2．政府采购工程支出</w:t>
            </w:r>
          </w:p>
        </w:tc>
        <w:tc>
          <w:tcPr>
            <w:tcW w:w="758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1,697.902212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3．政府采购服务支出</w:t>
            </w:r>
          </w:p>
        </w:tc>
        <w:tc>
          <w:tcPr>
            <w:tcW w:w="758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802.910600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（二）政府采购授予中小企业合同金额</w:t>
            </w:r>
          </w:p>
        </w:tc>
        <w:tc>
          <w:tcPr>
            <w:tcW w:w="758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2,132.429412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59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其中：授予小微企业合同金额</w:t>
            </w:r>
          </w:p>
        </w:tc>
        <w:tc>
          <w:tcPr>
            <w:tcW w:w="758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434.527200</w:t>
            </w:r>
          </w:p>
        </w:tc>
      </w:tr>
    </w:tbl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表5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6"/>
        <w:gridCol w:w="5493"/>
        <w:gridCol w:w="4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44" w:type="dxa"/>
            <w:gridSpan w:val="3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政府购买服务支出情况表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019" w:type="dxa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单位名称：北京市西城区园林绿化局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019" w:type="dxa"/>
            <w:gridSpan w:val="2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基本公共服务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人才服务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社会救助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扶贫济困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优抚安置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残疾人福利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人口和计划生育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科技推广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环境治理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生态保护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公共信息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城市维护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外事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社会管理性服务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社区建设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社会组织建设与管理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社会工作服务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法律援助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防灾救灾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人民调解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流动人口管理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安置帮教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志愿服务运营管理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公共公益宣传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行业管理与协调性服务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行业职业资格和水平测试管理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行业规范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行业投诉处理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行业规划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行业调查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行业统计分析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行业标准制修订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技术性服务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技术评审鉴定评估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检验检疫检测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监测服务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政府履职所需辅助性服务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课题研究和社会调查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财务会计审计服务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会议和展览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监督检查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工程服务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项目评审评估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绩效评价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技术业务培训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机关信息系统建设与维护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其他服务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2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其他适宜由社会力量承担的服务事项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表6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880"/>
        <w:gridCol w:w="2033"/>
        <w:gridCol w:w="1079"/>
        <w:gridCol w:w="1880"/>
        <w:gridCol w:w="2033"/>
        <w:gridCol w:w="1269"/>
        <w:gridCol w:w="1269"/>
        <w:gridCol w:w="1268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44" w:type="dxa"/>
            <w:gridSpan w:val="10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财政拨款收入支出决算总表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69" w:type="dxa"/>
            <w:gridSpan w:val="6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单位名称：北京市西城区园林绿化局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7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006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64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项目（按功能分类）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9,126.816745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11,279.556573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17.545900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1,344.487055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1,185.097883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428.185165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410.204569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6,578.348380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6,005.549521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2,083.600327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758.250245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761.908600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9,126.816745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11,279.556573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9,126.816745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10,446.756900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年初财政拨款结转和结余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834.799673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9,126.816745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11,281.556573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9,126.816745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11,281.556573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</w:tbl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表7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3"/>
        <w:gridCol w:w="404"/>
        <w:gridCol w:w="404"/>
        <w:gridCol w:w="2477"/>
        <w:gridCol w:w="2720"/>
        <w:gridCol w:w="2338"/>
        <w:gridCol w:w="2179"/>
        <w:gridCol w:w="2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44" w:type="dxa"/>
            <w:gridSpan w:val="8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一般公共预算财政拨款支出决算表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86" w:type="dxa"/>
            <w:gridSpan w:val="6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单位名称：北京市西城区园林绿化局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8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1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51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251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43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43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―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10,446.756900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6,014.789811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4,431.967089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0.196000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0.196000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2050803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0.196000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2050803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北京市西城区人定湖公园管理处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0.196000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0.196000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2050803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1,185.097883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1,185.097883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1,171.067083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1,171.067083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27.648660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27.648660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北京市西城区公园管理中心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1.922180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1.922180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25.726480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25.726480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635.177173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635.177173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事业单位离退休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北京市西城区人定湖公园管理处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197.568652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197.568652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事业单位离退休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北京市西城区宣武艺园管理处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155.395760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155.395760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事业单位离退休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北京市西城区月坛公园管理处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245.007560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245.007560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事业单位离退休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北京市西城区万寿公园管理处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37.205201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37.205201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387.502386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387.502386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北京市西城区公园管理中心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164.723136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164.723136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北京市西城区宣武艺园管理处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82.997808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82.997808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北京市西城区万寿公园管理处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63.026850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63.026850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76.754592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76.754592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120.738864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120.738864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北京市西城区公园管理中心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82.361568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82.361568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38.377296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38.377296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死亡抚恤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死亡抚恤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410.204569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410.204569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410.204569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410.204569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252.737424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252.737424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北京市西城区公园管理中心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155.321889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155.321889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157.467145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157.467145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北京市西城区月坛公园管理处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28.252214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28.252214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北京市西城区万寿公园管理处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36.095966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36.095966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北京市西城区宣武艺园管理处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51.367895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51.367895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北京市西城区人定湖公园管理处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41.751070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41.751070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6,005.549521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3,657.382759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2,348.166762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6,005.549521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3,657.382759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2,348.166762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6,005.549521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3,657.382759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2,348.166762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北京市西城区月坛公园管理处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794.946003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335.636783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459.309220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1,013.255604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778.329806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234.925798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北京市西城区万寿公园管理处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817.285975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446.256537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371.029438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北京市西城区宣武艺园管理处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964.544122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547.186330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417.357792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北京市西城区人定湖公园管理处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773.640178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355.388995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418.251183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北京市西城区公园管理中心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1,641.877639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1,194.584308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447.293331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2,083.600327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2,083.600327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2,083.600327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2,083.600327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2130205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森林资源培育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1,990.602337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1,990.602337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2130205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森林资源培育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北京市西城区公园管理中心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1,530.010300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1,530.010300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2130205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森林资源培育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460.592037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460.592037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2130299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其他林业和草原支出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92.997990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92.997990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2130299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其他林业和草原支出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北京市西城区人定湖公园管理处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5.400000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2130299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其他林业和草原支出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北京市西城区宣武艺园管理处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1.400000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2130299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其他林业和草原支出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北京市西城区万寿公园管理处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5.399400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5.399400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2130299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其他林业和草原支出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80.798590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80.798590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761.908600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761.908600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761.908600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761.908600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416.742800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416.742800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北京市西城区月坛公园管理处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36.085200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36.085200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89.287700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89.287700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北京市西城区人定湖公园管理处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39.388800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39.388800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北京市西城区宣武艺园管理处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61.946700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61.946700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北京市西城区万寿公园管理处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46.925600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46.925600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北京市西城区公园管理中心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143.108800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143.108800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11.579000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11.579000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北京市西城区月坛公园管理处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4.032000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4.032000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北京市西城区宣武艺园管理处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2.605000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2.605000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北京市西城区人定湖公园管理处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3.228000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3.228000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北京市西城区万寿公园管理处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1.714000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1.714000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333.586800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333.586800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北京市西城区月坛公园管理处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29.096400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29.096400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北京市西城区万寿公园管理处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28.870800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28.870800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北京市西城区宣武艺园管理处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38.091100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38.091100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北京市西城区人定湖公园管理处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28.458000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28.458000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北京市西城区公园管理中心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141.095300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141.095300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251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67.975200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67.975200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</w:tbl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表8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8"/>
        <w:gridCol w:w="2232"/>
        <w:gridCol w:w="2810"/>
        <w:gridCol w:w="2051"/>
        <w:gridCol w:w="3150"/>
        <w:gridCol w:w="2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44" w:type="dxa"/>
            <w:gridSpan w:val="6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一般公共预算财政拨款基本支出决算表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41" w:type="dxa"/>
            <w:gridSpan w:val="4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单位名称：北京市西城区园林绿化局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4,929.845588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401.571240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1,126.787520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36.202834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1,387.510016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137.134900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17.651499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0.105546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833.240288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9.147781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387.502386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28.275458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120.738864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10.291023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412.227366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56.361088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25.710849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0.173700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416.742800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26.483073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64.599100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683.372983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0.196000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636.645378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53.894756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0.724405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55.613895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1.158198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赠与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31.972400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31.592343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对民间非营利组织和群众性自治组织补贴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92.075545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5,613.218571</w:t>
            </w:r>
          </w:p>
        </w:tc>
        <w:tc>
          <w:tcPr>
            <w:tcW w:w="8011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401.571240</w:t>
            </w:r>
          </w:p>
        </w:tc>
      </w:tr>
    </w:tbl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表9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8"/>
        <w:gridCol w:w="417"/>
        <w:gridCol w:w="417"/>
        <w:gridCol w:w="2855"/>
        <w:gridCol w:w="1439"/>
        <w:gridCol w:w="1440"/>
        <w:gridCol w:w="1440"/>
        <w:gridCol w:w="1440"/>
        <w:gridCol w:w="1440"/>
        <w:gridCol w:w="1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44" w:type="dxa"/>
            <w:gridSpan w:val="10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1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单位名称：北京市西城区园林绿化局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07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上年结转和结余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2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8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2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652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18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18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2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表10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2077"/>
        <w:gridCol w:w="2843"/>
        <w:gridCol w:w="2077"/>
        <w:gridCol w:w="3189"/>
        <w:gridCol w:w="2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44" w:type="dxa"/>
            <w:gridSpan w:val="6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政府性基金预算财政拨款基本支出决算表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878" w:type="dxa"/>
            <w:gridSpan w:val="4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单位名称：北京市西城区园林绿化局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赠与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对民间非营利组织和群众性自治组织补贴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81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9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表11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6"/>
        <w:gridCol w:w="417"/>
        <w:gridCol w:w="418"/>
        <w:gridCol w:w="4090"/>
        <w:gridCol w:w="2060"/>
        <w:gridCol w:w="2061"/>
        <w:gridCol w:w="2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44" w:type="dxa"/>
            <w:gridSpan w:val="7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国有资本经营预算财政拨款支出决算表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021" w:type="dxa"/>
            <w:gridSpan w:val="5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单位名称：北京市西城区园林绿化局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961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18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2021年度决算数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1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40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06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1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71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36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3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1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表12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1432"/>
        <w:gridCol w:w="1432"/>
        <w:gridCol w:w="1432"/>
        <w:gridCol w:w="1433"/>
        <w:gridCol w:w="1432"/>
        <w:gridCol w:w="1432"/>
        <w:gridCol w:w="1432"/>
        <w:gridCol w:w="1432"/>
        <w:gridCol w:w="1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44" w:type="dxa"/>
            <w:gridSpan w:val="10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财政拨款"三公"经费支出决算表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83" w:type="dxa"/>
            <w:gridSpan w:val="5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编制单位：北京市西城区园林绿化局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4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"三公"经费财政拨款决算合计</w:t>
            </w: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859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716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公务用车加油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公务用车维修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公务用车保险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2021年预算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7.930308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3.330308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5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2021年决算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1.158198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1.158198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0.602621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0.320577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4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44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44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sectPr>
      <w:type w:val="continuous"/>
      <w:pgSz w:w="16838" w:h="11906" w:orient="landscape"/>
      <w:pgMar w:top="1797" w:right="851" w:bottom="1797" w:left="873" w:header="851" w:footer="992" w:gutter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jc w:val="center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D105E"/>
    <w:rsid w:val="079807AD"/>
    <w:rsid w:val="08E55970"/>
    <w:rsid w:val="0D3403D4"/>
    <w:rsid w:val="0D6E7AC4"/>
    <w:rsid w:val="122D0535"/>
    <w:rsid w:val="135E0A07"/>
    <w:rsid w:val="16602A11"/>
    <w:rsid w:val="1C72421D"/>
    <w:rsid w:val="251D098A"/>
    <w:rsid w:val="267A73D2"/>
    <w:rsid w:val="2DED1A38"/>
    <w:rsid w:val="2EB61784"/>
    <w:rsid w:val="2F154F6E"/>
    <w:rsid w:val="385A3C19"/>
    <w:rsid w:val="3E302482"/>
    <w:rsid w:val="405175A6"/>
    <w:rsid w:val="466922CE"/>
    <w:rsid w:val="49C22288"/>
    <w:rsid w:val="56C01FF4"/>
    <w:rsid w:val="59953EC9"/>
    <w:rsid w:val="613A479A"/>
    <w:rsid w:val="65AB73E4"/>
    <w:rsid w:val="70903D58"/>
    <w:rsid w:val="77CD028C"/>
    <w:rsid w:val="77E13E81"/>
    <w:rsid w:val="790D2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line="312" w:lineRule="auto"/>
      <w:jc w:val="center"/>
      <w:outlineLvl w:val="1"/>
    </w:pPr>
    <w:rPr>
      <w:rFonts w:ascii="Cambria" w:hAnsi="Cambria" w:eastAsia="宋体" w:cs="Times New Roman"/>
      <w:b/>
      <w:bCs/>
      <w:sz w:val="36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24</Pages>
  <Words>0</Words>
  <Characters>11184</Characters>
  <Lines>0</Lines>
  <Paragraphs>263</Paragraphs>
  <TotalTime>0</TotalTime>
  <ScaleCrop>false</ScaleCrop>
  <LinksUpToDate>false</LinksUpToDate>
  <CharactersWithSpaces>14912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2021-09-03T03:40:00Z</dcterms:created>
  <dc:creator>lenovo</dc:creator>
  <cp:lastModifiedBy>石卉然</cp:lastModifiedBy>
  <cp:lastPrinted>2022-09-06T01:21:00Z</cp:lastPrinted>
  <dcterms:modified xsi:type="dcterms:W3CDTF">2022-09-06T05:29:52Z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