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rPr>
        <w:t>西城区教育委员会（行政）（本级）</w:t>
      </w:r>
    </w:p>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rPr>
        <w:t>2022年部门预算编制说明</w:t>
      </w:r>
    </w:p>
    <w:p>
      <w:pPr>
        <w:snapToGrid w:val="0"/>
        <w:spacing w:line="680" w:lineRule="exact"/>
        <w:jc w:val="center"/>
        <w:rPr>
          <w:rFonts w:ascii="方正小标宋简体" w:eastAsia="方正小标宋简体"/>
          <w:sz w:val="44"/>
          <w:szCs w:val="44"/>
        </w:rPr>
      </w:pPr>
    </w:p>
    <w:p>
      <w:pPr>
        <w:jc w:val="center"/>
        <w:rPr>
          <w:rFonts w:ascii="仿宋_GB2312" w:eastAsia="仿宋_GB2312"/>
          <w:b/>
          <w:sz w:val="36"/>
          <w:szCs w:val="36"/>
        </w:rPr>
      </w:pPr>
    </w:p>
    <w:p>
      <w:pPr>
        <w:spacing w:line="560" w:lineRule="exact"/>
        <w:ind w:firstLine="640" w:firstLineChars="200"/>
        <w:outlineLvl w:val="0"/>
        <w:rPr>
          <w:rFonts w:ascii="黑体" w:eastAsia="黑体" w:hAnsiTheme="minorEastAsia"/>
          <w:sz w:val="32"/>
          <w:szCs w:val="32"/>
        </w:rPr>
      </w:pPr>
      <w:r>
        <w:rPr>
          <w:rFonts w:hint="eastAsia" w:ascii="黑体" w:eastAsia="黑体" w:hAnsiTheme="minorEastAsia"/>
          <w:sz w:val="32"/>
          <w:szCs w:val="32"/>
        </w:rPr>
        <w:t>一、部门情况</w:t>
      </w:r>
    </w:p>
    <w:p>
      <w:pPr>
        <w:spacing w:line="560" w:lineRule="exact"/>
        <w:ind w:firstLine="555"/>
        <w:rPr>
          <w:rFonts w:ascii="仿宋_GB2312" w:eastAsia="仿宋_GB2312"/>
          <w:sz w:val="32"/>
          <w:szCs w:val="32"/>
        </w:rPr>
      </w:pPr>
      <w:r>
        <w:rPr>
          <w:rFonts w:hint="eastAsia" w:ascii="仿宋_GB2312" w:eastAsia="仿宋_GB2312"/>
          <w:sz w:val="32"/>
          <w:szCs w:val="32"/>
        </w:rPr>
        <w:t>（一）部门机构设置、职责</w:t>
      </w:r>
    </w:p>
    <w:p>
      <w:pPr>
        <w:spacing w:line="560" w:lineRule="exact"/>
        <w:ind w:firstLine="555"/>
        <w:rPr>
          <w:rFonts w:ascii="仿宋_GB2312" w:hAnsi="仿宋_GB2312" w:eastAsia="仿宋_GB2312"/>
          <w:bCs/>
          <w:sz w:val="32"/>
          <w:szCs w:val="32"/>
        </w:rPr>
      </w:pPr>
      <w:r>
        <w:rPr>
          <w:rFonts w:hint="eastAsia" w:ascii="仿宋_GB2312" w:hAnsi="仿宋_GB2312" w:eastAsia="仿宋_GB2312"/>
          <w:bCs/>
          <w:sz w:val="32"/>
          <w:szCs w:val="32"/>
        </w:rPr>
        <w:t>北京市西城区委教育工作委员会是负责本区教育系统党的建设、思想政治工作和干部管理工作的区委派出机构；北京市西城区教育委员会是负责本区教育事业的区政府工作部门,依法对本辖区内的教育工作进行监督、检查、评估、指导的部门。</w:t>
      </w:r>
    </w:p>
    <w:p>
      <w:pPr>
        <w:spacing w:line="560" w:lineRule="exact"/>
        <w:ind w:firstLine="555"/>
        <w:rPr>
          <w:rFonts w:ascii="仿宋_GB2312" w:eastAsia="仿宋_GB2312"/>
          <w:sz w:val="32"/>
          <w:szCs w:val="32"/>
        </w:rPr>
      </w:pPr>
      <w:r>
        <w:rPr>
          <w:rFonts w:hint="eastAsia" w:ascii="仿宋_GB2312" w:eastAsia="仿宋_GB2312"/>
          <w:sz w:val="32"/>
          <w:szCs w:val="32"/>
        </w:rPr>
        <w:t>（二）人员构成情况</w:t>
      </w:r>
    </w:p>
    <w:p>
      <w:pPr>
        <w:spacing w:line="560" w:lineRule="exact"/>
        <w:ind w:firstLine="555"/>
        <w:rPr>
          <w:rFonts w:ascii="仿宋_GB2312" w:eastAsia="仿宋_GB2312"/>
          <w:sz w:val="32"/>
          <w:szCs w:val="32"/>
        </w:rPr>
      </w:pPr>
      <w:r>
        <w:rPr>
          <w:rFonts w:hint="eastAsia" w:ascii="仿宋_GB2312" w:eastAsia="仿宋_GB2312"/>
          <w:sz w:val="32"/>
          <w:szCs w:val="32"/>
        </w:rPr>
        <w:t>区委教工委和区教委行政编制140人;事业编制0人；工勤编制0名；实际132人；长期聘用临时工0人。</w:t>
      </w:r>
    </w:p>
    <w:p>
      <w:pPr>
        <w:spacing w:line="560" w:lineRule="exact"/>
        <w:ind w:firstLine="555"/>
        <w:rPr>
          <w:rFonts w:ascii="仿宋_GB2312" w:eastAsia="仿宋_GB2312"/>
          <w:sz w:val="32"/>
          <w:szCs w:val="32"/>
        </w:rPr>
      </w:pPr>
      <w:r>
        <w:rPr>
          <w:rFonts w:hint="eastAsia" w:ascii="仿宋_GB2312" w:eastAsia="仿宋_GB2312"/>
          <w:sz w:val="32"/>
          <w:szCs w:val="32"/>
        </w:rPr>
        <w:t>离退休人员312人，其中：离休12人，退休300人。</w:t>
      </w:r>
    </w:p>
    <w:p>
      <w:pPr>
        <w:spacing w:line="560" w:lineRule="exact"/>
        <w:ind w:firstLine="555"/>
        <w:outlineLvl w:val="0"/>
        <w:rPr>
          <w:rFonts w:ascii="黑体" w:eastAsia="黑体"/>
          <w:sz w:val="32"/>
          <w:szCs w:val="32"/>
        </w:rPr>
      </w:pPr>
      <w:r>
        <w:rPr>
          <w:rFonts w:hint="eastAsia" w:ascii="黑体" w:eastAsia="黑体"/>
          <w:sz w:val="32"/>
          <w:szCs w:val="32"/>
        </w:rPr>
        <w:t>二、收入支出预算情况说明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（一）2022年收入预算情况说明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2022年收入预算</w:t>
      </w:r>
      <w:r>
        <w:rPr>
          <w:rFonts w:ascii="仿宋_GB2312" w:eastAsia="仿宋_GB2312"/>
          <w:sz w:val="32"/>
          <w:szCs w:val="32"/>
        </w:rPr>
        <w:t>11680.21</w:t>
      </w:r>
      <w:r>
        <w:rPr>
          <w:rFonts w:hint="eastAsia" w:ascii="仿宋_GB2312" w:hAnsi="Batang" w:eastAsia="仿宋_GB2312"/>
          <w:sz w:val="32"/>
          <w:szCs w:val="32"/>
        </w:rPr>
        <w:t>万元</w:t>
      </w:r>
      <w:r>
        <w:rPr>
          <w:rFonts w:hint="eastAsia" w:ascii="仿宋_GB2312" w:eastAsia="仿宋_GB2312"/>
          <w:sz w:val="32"/>
          <w:szCs w:val="32"/>
        </w:rPr>
        <w:t>，其中：预算内资金安排</w:t>
      </w:r>
      <w:r>
        <w:rPr>
          <w:rFonts w:hint="eastAsia" w:ascii="仿宋_GB2312" w:hAnsi="Batang" w:eastAsia="仿宋_GB2312"/>
          <w:sz w:val="32"/>
          <w:szCs w:val="32"/>
        </w:rPr>
        <w:t>6560.41万元</w:t>
      </w:r>
      <w:r>
        <w:rPr>
          <w:rFonts w:hint="eastAsia" w:ascii="仿宋_GB2312" w:eastAsia="仿宋_GB2312"/>
          <w:sz w:val="32"/>
          <w:szCs w:val="32"/>
        </w:rPr>
        <w:t>，财政专户资金安排0元，其他资金安排0元，市级提前下达专项转移支付项目资金安排</w:t>
      </w:r>
      <w:r>
        <w:rPr>
          <w:rFonts w:ascii="仿宋_GB2312" w:eastAsia="仿宋_GB2312"/>
          <w:sz w:val="32"/>
          <w:szCs w:val="32"/>
        </w:rPr>
        <w:t>5119.80</w:t>
      </w:r>
      <w:r>
        <w:rPr>
          <w:rFonts w:hint="eastAsia" w:ascii="仿宋_GB2312" w:eastAsia="仿宋_GB2312"/>
          <w:sz w:val="32"/>
          <w:szCs w:val="32"/>
        </w:rPr>
        <w:t>元。</w:t>
      </w:r>
    </w:p>
    <w:p>
      <w:pPr>
        <w:spacing w:line="560" w:lineRule="exact"/>
        <w:ind w:firstLine="555"/>
        <w:rPr>
          <w:rFonts w:ascii="仿宋_GB2312" w:eastAsia="仿宋_GB2312"/>
          <w:sz w:val="32"/>
          <w:szCs w:val="32"/>
        </w:rPr>
      </w:pPr>
      <w:r>
        <w:rPr>
          <w:rFonts w:hint="eastAsia" w:ascii="仿宋_GB2312" w:eastAsia="仿宋_GB2312"/>
          <w:sz w:val="32"/>
          <w:szCs w:val="32"/>
        </w:rPr>
        <w:t>（二）2022年支出预算情况说明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2022年支出预算按用途划分：</w:t>
      </w:r>
    </w:p>
    <w:p>
      <w:pPr>
        <w:spacing w:line="560" w:lineRule="exact"/>
        <w:ind w:firstLine="555"/>
        <w:rPr>
          <w:rFonts w:ascii="仿宋_GB2312" w:eastAsia="仿宋_GB2312"/>
          <w:sz w:val="32"/>
          <w:szCs w:val="32"/>
        </w:rPr>
      </w:pPr>
      <w:r>
        <w:rPr>
          <w:rFonts w:hint="eastAsia" w:ascii="仿宋_GB2312" w:eastAsia="仿宋_GB2312"/>
          <w:sz w:val="32"/>
          <w:szCs w:val="32"/>
        </w:rPr>
        <w:t>1.基本支出预算</w:t>
      </w:r>
      <w:r>
        <w:rPr>
          <w:rFonts w:ascii="仿宋_GB2312" w:eastAsia="仿宋_GB2312"/>
          <w:sz w:val="32"/>
          <w:szCs w:val="32"/>
        </w:rPr>
        <w:t>5,070.87</w:t>
      </w:r>
      <w:r>
        <w:rPr>
          <w:rFonts w:hint="eastAsia" w:ascii="仿宋_GB2312" w:eastAsia="仿宋_GB2312"/>
          <w:sz w:val="32"/>
          <w:szCs w:val="32"/>
        </w:rPr>
        <w:t>万元，其中公用支出</w:t>
      </w:r>
      <w:r>
        <w:rPr>
          <w:rFonts w:ascii="仿宋_GB2312" w:eastAsia="仿宋_GB2312"/>
          <w:sz w:val="32"/>
          <w:szCs w:val="32"/>
        </w:rPr>
        <w:t>478.5</w:t>
      </w:r>
      <w:r>
        <w:rPr>
          <w:rFonts w:hint="eastAsia" w:ascii="仿宋_GB2312" w:eastAsia="仿宋_GB2312"/>
          <w:sz w:val="32"/>
          <w:szCs w:val="32"/>
        </w:rPr>
        <w:t>9万元。基本支出主要是预算单位人员经费、机关正常运转经费和医疗保障经费等支出。</w:t>
      </w:r>
    </w:p>
    <w:p>
      <w:pPr>
        <w:spacing w:line="560" w:lineRule="exact"/>
        <w:ind w:firstLine="555"/>
        <w:rPr>
          <w:rFonts w:ascii="仿宋_GB2312" w:eastAsia="仿宋_GB2312"/>
          <w:sz w:val="32"/>
          <w:szCs w:val="32"/>
        </w:rPr>
      </w:pPr>
      <w:r>
        <w:rPr>
          <w:rFonts w:hint="eastAsia" w:ascii="仿宋_GB2312" w:eastAsia="仿宋_GB2312"/>
          <w:sz w:val="32"/>
          <w:szCs w:val="32"/>
        </w:rPr>
        <w:t>2.项目支出预算</w:t>
      </w:r>
      <w:r>
        <w:rPr>
          <w:rFonts w:ascii="仿宋_GB2312" w:eastAsia="仿宋_GB2312"/>
          <w:sz w:val="32"/>
          <w:szCs w:val="32"/>
        </w:rPr>
        <w:t>6,609.34</w:t>
      </w:r>
      <w:r>
        <w:rPr>
          <w:rFonts w:hint="eastAsia" w:ascii="仿宋_GB2312" w:eastAsia="仿宋_GB2312"/>
          <w:sz w:val="32"/>
          <w:szCs w:val="32"/>
        </w:rPr>
        <w:t xml:space="preserve"> 万元。主要项目包括①物业管理费，②运维补助经费，③京财教育指【2021】2019号促进基础教育事业发展（学前学段）专项转移支付-生均定额补助等。</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（三）2022年预算收支增减变化情况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2022年部门收入总预算</w:t>
      </w:r>
      <w:r>
        <w:rPr>
          <w:rFonts w:ascii="仿宋_GB2312" w:eastAsia="仿宋_GB2312"/>
          <w:sz w:val="32"/>
          <w:szCs w:val="32"/>
        </w:rPr>
        <w:t>11680.21</w:t>
      </w:r>
      <w:r>
        <w:rPr>
          <w:rFonts w:hint="eastAsia" w:ascii="仿宋_GB2312" w:eastAsia="仿宋_GB2312"/>
          <w:sz w:val="32"/>
          <w:szCs w:val="32"/>
        </w:rPr>
        <w:t>万元，比2021年年初预算</w:t>
      </w:r>
      <w:r>
        <w:rPr>
          <w:rFonts w:ascii="仿宋_GB2312" w:eastAsia="仿宋_GB2312"/>
          <w:sz w:val="32"/>
          <w:szCs w:val="32"/>
        </w:rPr>
        <w:t>5606</w:t>
      </w:r>
      <w:r>
        <w:rPr>
          <w:rFonts w:hint="eastAsia" w:ascii="仿宋_GB2312" w:eastAsia="仿宋_GB2312"/>
          <w:sz w:val="32"/>
          <w:szCs w:val="32"/>
        </w:rPr>
        <w:t>万元增加6074.21万元，增长108.35%，主要原因为本年增加市级提前下达专项转移支付项目资金安排</w:t>
      </w:r>
      <w:r>
        <w:rPr>
          <w:rFonts w:ascii="仿宋_GB2312" w:eastAsia="仿宋_GB2312"/>
          <w:sz w:val="32"/>
          <w:szCs w:val="32"/>
        </w:rPr>
        <w:t>5119.80</w:t>
      </w:r>
      <w:r>
        <w:rPr>
          <w:rFonts w:hint="eastAsia" w:ascii="仿宋_GB2312" w:eastAsia="仿宋_GB2312"/>
          <w:sz w:val="32"/>
          <w:szCs w:val="32"/>
        </w:rPr>
        <w:t>元。          2022年部门支出总预算</w:t>
      </w:r>
      <w:r>
        <w:rPr>
          <w:rFonts w:ascii="仿宋_GB2312" w:eastAsia="仿宋_GB2312"/>
          <w:sz w:val="32"/>
          <w:szCs w:val="32"/>
        </w:rPr>
        <w:t>11680.21</w:t>
      </w:r>
      <w:r>
        <w:rPr>
          <w:rFonts w:hint="eastAsia" w:ascii="仿宋_GB2312" w:eastAsia="仿宋_GB2312"/>
          <w:sz w:val="32"/>
          <w:szCs w:val="32"/>
        </w:rPr>
        <w:t>万元，比2021年支出算</w:t>
      </w:r>
      <w:r>
        <w:rPr>
          <w:rFonts w:ascii="仿宋_GB2312" w:eastAsia="仿宋_GB2312"/>
          <w:sz w:val="32"/>
          <w:szCs w:val="32"/>
        </w:rPr>
        <w:t>5606</w:t>
      </w:r>
      <w:r>
        <w:rPr>
          <w:rFonts w:hint="eastAsia" w:ascii="仿宋_GB2312" w:eastAsia="仿宋_GB2312"/>
          <w:sz w:val="32"/>
          <w:szCs w:val="32"/>
        </w:rPr>
        <w:t>万元增加6074.21万元，增长108.35%</w:t>
      </w:r>
    </w:p>
    <w:p>
      <w:pPr>
        <w:spacing w:line="560" w:lineRule="exact"/>
        <w:ind w:firstLine="640" w:firstLineChars="200"/>
        <w:rPr>
          <w:rFonts w:ascii="黑体" w:eastAsia="黑体"/>
          <w:sz w:val="32"/>
          <w:szCs w:val="32"/>
        </w:rPr>
      </w:pPr>
      <w:r>
        <w:rPr>
          <w:rFonts w:hint="eastAsia" w:ascii="黑体" w:eastAsia="黑体"/>
          <w:sz w:val="32"/>
          <w:szCs w:val="32"/>
        </w:rPr>
        <w:t>三、部门“三公”经费预算安排情况说明</w:t>
      </w:r>
    </w:p>
    <w:p>
      <w:pPr>
        <w:spacing w:line="560" w:lineRule="exact"/>
        <w:ind w:firstLine="555"/>
        <w:rPr>
          <w:rFonts w:ascii="仿宋_GB2312" w:eastAsia="仿宋_GB2312"/>
          <w:sz w:val="32"/>
          <w:szCs w:val="32"/>
        </w:rPr>
      </w:pPr>
      <w:r>
        <w:rPr>
          <w:rFonts w:hint="eastAsia" w:ascii="仿宋_GB2312" w:eastAsia="仿宋_GB2312"/>
          <w:sz w:val="32"/>
          <w:szCs w:val="32"/>
        </w:rPr>
        <w:t>（一）“三公”经费的单位范围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北京市西城区教育委员会（行政）部门预算中，因公出国（境）费、公务接待费、公务用车购置及运行维护费的支出单位包括区教委行政机关及0个所属单位。</w:t>
      </w:r>
    </w:p>
    <w:p>
      <w:pPr>
        <w:spacing w:line="560" w:lineRule="exact"/>
        <w:ind w:firstLine="555"/>
        <w:rPr>
          <w:rFonts w:ascii="仿宋_GB2312" w:eastAsia="仿宋_GB2312"/>
          <w:sz w:val="32"/>
          <w:szCs w:val="32"/>
        </w:rPr>
      </w:pPr>
      <w:r>
        <w:rPr>
          <w:rFonts w:hint="eastAsia" w:ascii="仿宋_GB2312" w:eastAsia="仿宋_GB2312"/>
          <w:sz w:val="32"/>
          <w:szCs w:val="32"/>
        </w:rPr>
        <w:t>（二）“三公”经费预算安排情况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2022年“三公”经费财政拨款预算安排共计0元，与2021年年初预算数减少</w:t>
      </w:r>
      <w:r>
        <w:rPr>
          <w:rFonts w:ascii="仿宋_GB2312" w:eastAsia="仿宋_GB2312"/>
          <w:sz w:val="32"/>
          <w:szCs w:val="32"/>
        </w:rPr>
        <w:t>39,717.82</w:t>
      </w:r>
      <w:r>
        <w:rPr>
          <w:rFonts w:hint="eastAsia" w:ascii="仿宋_GB2312" w:eastAsia="仿宋_GB2312"/>
          <w:sz w:val="32"/>
          <w:szCs w:val="32"/>
        </w:rPr>
        <w:t>。其中：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1.因公出国（境）费用。西城区因公出国（境）费年初预算不安排到部门，预算执行过程中，根据外事部门审批情况办理经费追加手续。2022年预算安排资金0元，与2021年年初预算数持平。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2.公务接待费。2022年预算数0元，与2021年年初预算数减少</w:t>
      </w:r>
      <w:r>
        <w:rPr>
          <w:rFonts w:ascii="仿宋_GB2312" w:eastAsia="仿宋_GB2312"/>
          <w:sz w:val="32"/>
          <w:szCs w:val="32"/>
        </w:rPr>
        <w:t>39,717.82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3.公务用车购置和运行维护费。2022年公务用车购置和运行维护费预算数0元，与2021年年初预算数持平。</w:t>
      </w:r>
    </w:p>
    <w:p>
      <w:pPr>
        <w:spacing w:line="560" w:lineRule="exact"/>
        <w:ind w:firstLine="555"/>
        <w:outlineLvl w:val="0"/>
        <w:rPr>
          <w:rFonts w:ascii="黑体" w:eastAsia="黑体"/>
          <w:sz w:val="32"/>
          <w:szCs w:val="32"/>
        </w:rPr>
      </w:pPr>
      <w:r>
        <w:rPr>
          <w:rFonts w:hint="eastAsia" w:ascii="黑体" w:eastAsia="黑体"/>
          <w:sz w:val="32"/>
          <w:szCs w:val="32"/>
        </w:rPr>
        <w:t>四、其他情况说明</w:t>
      </w:r>
    </w:p>
    <w:p>
      <w:pPr>
        <w:spacing w:line="560" w:lineRule="exact"/>
        <w:ind w:firstLine="555"/>
        <w:rPr>
          <w:rFonts w:ascii="仿宋_GB2312" w:eastAsia="仿宋_GB2312"/>
          <w:sz w:val="32"/>
          <w:szCs w:val="32"/>
        </w:rPr>
      </w:pPr>
      <w:r>
        <w:rPr>
          <w:rFonts w:hint="eastAsia" w:ascii="仿宋_GB2312" w:eastAsia="仿宋_GB2312"/>
          <w:sz w:val="32"/>
          <w:szCs w:val="32"/>
        </w:rPr>
        <w:t>（一）机关运行经费预算安排情况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区委教工委和区教委的机关运行经费财政拨款预算478.59万元。经费内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55"/>
        <w:rPr>
          <w:rFonts w:ascii="仿宋_GB2312" w:eastAsia="仿宋_GB2312"/>
          <w:sz w:val="32"/>
          <w:szCs w:val="32"/>
        </w:rPr>
      </w:pPr>
      <w:r>
        <w:rPr>
          <w:rFonts w:hint="eastAsia" w:ascii="仿宋_GB2312" w:eastAsia="仿宋_GB2312"/>
          <w:sz w:val="32"/>
          <w:szCs w:val="32"/>
        </w:rPr>
        <w:t>（二）政府采购情况说明</w:t>
      </w:r>
    </w:p>
    <w:p>
      <w:pPr>
        <w:spacing w:line="560" w:lineRule="exact"/>
        <w:ind w:firstLine="555"/>
        <w:rPr>
          <w:rFonts w:ascii="仿宋_GB2312" w:eastAsia="仿宋_GB2312"/>
          <w:sz w:val="32"/>
          <w:szCs w:val="32"/>
        </w:rPr>
      </w:pPr>
      <w:r>
        <w:rPr>
          <w:rFonts w:hint="eastAsia" w:ascii="仿宋_GB2312" w:eastAsia="仿宋_GB2312"/>
          <w:sz w:val="32"/>
          <w:szCs w:val="32"/>
        </w:rPr>
        <w:t>2022年涉及政府采购项目0个。</w:t>
      </w:r>
    </w:p>
    <w:p>
      <w:pPr>
        <w:spacing w:line="560" w:lineRule="exact"/>
        <w:ind w:firstLine="555"/>
        <w:rPr>
          <w:rFonts w:ascii="仿宋_GB2312" w:eastAsia="仿宋_GB2312"/>
          <w:sz w:val="32"/>
          <w:szCs w:val="32"/>
        </w:rPr>
      </w:pPr>
      <w:r>
        <w:rPr>
          <w:rFonts w:hint="eastAsia" w:ascii="仿宋_GB2312" w:eastAsia="仿宋_GB2312"/>
          <w:sz w:val="32"/>
          <w:szCs w:val="32"/>
        </w:rPr>
        <w:t>（三）政府购买服务情况说明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2022年涉及政府购买服务项目2个，项目预算资金总额3,423,120.93元，分别为物业管理费和运维补助经费。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9"/>
        <w:gridCol w:w="1100"/>
        <w:gridCol w:w="990"/>
        <w:gridCol w:w="930"/>
        <w:gridCol w:w="880"/>
        <w:gridCol w:w="750"/>
        <w:gridCol w:w="810"/>
        <w:gridCol w:w="940"/>
        <w:gridCol w:w="942"/>
        <w:gridCol w:w="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654"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58"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126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1" w:hRule="atLeast"/>
        </w:trPr>
        <w:tc>
          <w:tcPr>
            <w:tcW w:w="654"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单位信息</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职能职责与活动</w:t>
            </w:r>
          </w:p>
        </w:tc>
        <w:tc>
          <w:tcPr>
            <w:tcW w:w="1445" w:type="pct"/>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指导性目录</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服务领域</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本年预算金额</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654"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w:t>
            </w:r>
          </w:p>
        </w:tc>
        <w:tc>
          <w:tcPr>
            <w:tcW w:w="496" w:type="pc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w:t>
            </w:r>
          </w:p>
        </w:tc>
        <w:tc>
          <w:tcPr>
            <w:tcW w:w="423" w:type="pct"/>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654"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    计</w:t>
            </w:r>
          </w:p>
        </w:tc>
        <w:tc>
          <w:tcPr>
            <w:tcW w:w="55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496"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288.71</w:t>
            </w:r>
          </w:p>
        </w:tc>
        <w:tc>
          <w:tcPr>
            <w:tcW w:w="53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342.31</w:t>
            </w:r>
          </w:p>
        </w:tc>
        <w:tc>
          <w:tcPr>
            <w:tcW w:w="200"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1" w:hRule="atLeast"/>
        </w:trPr>
        <w:tc>
          <w:tcPr>
            <w:tcW w:w="6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254001-北京市西城区教育委员会（行政）（本级）</w:t>
            </w:r>
          </w:p>
        </w:tc>
        <w:tc>
          <w:tcPr>
            <w:tcW w:w="6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11010222T000000415579-物业管理费</w:t>
            </w:r>
          </w:p>
        </w:tc>
        <w:tc>
          <w:tcPr>
            <w:tcW w:w="5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04-教育管理/03-其他业务事项</w:t>
            </w:r>
          </w:p>
        </w:tc>
        <w:tc>
          <w:tcPr>
            <w:tcW w:w="52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05-政府履职所需辅助性服务</w:t>
            </w:r>
          </w:p>
        </w:tc>
        <w:tc>
          <w:tcPr>
            <w:tcW w:w="49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0512-后勤服务</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物业服务</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205-教育支出</w:t>
            </w:r>
          </w:p>
        </w:tc>
        <w:tc>
          <w:tcPr>
            <w:tcW w:w="5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105.91</w:t>
            </w:r>
          </w:p>
        </w:tc>
        <w:tc>
          <w:tcPr>
            <w:tcW w:w="53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159.51</w:t>
            </w:r>
          </w:p>
        </w:tc>
        <w:tc>
          <w:tcPr>
            <w:tcW w:w="20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6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254001-北京市西城区教育委员会（行政）（本级）</w:t>
            </w:r>
          </w:p>
        </w:tc>
        <w:tc>
          <w:tcPr>
            <w:tcW w:w="6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11010222T000000415591-运维补助经费</w:t>
            </w:r>
          </w:p>
        </w:tc>
        <w:tc>
          <w:tcPr>
            <w:tcW w:w="5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04-教育</w:t>
            </w:r>
            <w:bookmarkStart w:id="0" w:name="_GoBack"/>
            <w:bookmarkEnd w:id="0"/>
            <w:r>
              <w:rPr>
                <w:rStyle w:val="14"/>
                <w:bdr w:val="none" w:color="auto" w:sz="0" w:space="0"/>
                <w:lang w:val="en-US" w:eastAsia="zh-CN" w:bidi="ar"/>
              </w:rPr>
              <w:t>管理/03-其他业务事项</w:t>
            </w:r>
          </w:p>
        </w:tc>
        <w:tc>
          <w:tcPr>
            <w:tcW w:w="52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05-政府履职所需辅助性服务</w:t>
            </w:r>
          </w:p>
        </w:tc>
        <w:tc>
          <w:tcPr>
            <w:tcW w:w="49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0512-后勤服务</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物业服务</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bdr w:val="none" w:color="auto" w:sz="0" w:space="0"/>
                <w:lang w:val="en-US" w:eastAsia="zh-CN" w:bidi="ar"/>
              </w:rPr>
              <w:t>205-教育支出</w:t>
            </w:r>
          </w:p>
        </w:tc>
        <w:tc>
          <w:tcPr>
            <w:tcW w:w="5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182.80</w:t>
            </w:r>
          </w:p>
        </w:tc>
        <w:tc>
          <w:tcPr>
            <w:tcW w:w="53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182.80</w:t>
            </w:r>
          </w:p>
        </w:tc>
        <w:tc>
          <w:tcPr>
            <w:tcW w:w="20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bl>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已针对部门整体支出及重点项目支出建立了全程跟踪审核及绩效评价体系，重点评价分析三个方面：1.目标依据的充分性。2.目标设置的合理性。3.目标实现的保障性。同时在项目进展中实施绩效跟踪报告制度，对项目的经济效益、社会效益等实施监控管理。在项目完成后积极开展绩效评价，主要针对审核目标是否符合客观事实，项目预期产生的社会效益和效果。项目产生目标与项目效益目标的关联性、匹配性和逻辑性是否达到预期效果。是否依据预期的产量和效益、结合本身效益分析编制项目预算合理性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2022年预算填报项目申报表的项目10项，占总项目数额的</w:t>
      </w:r>
      <w:r>
        <w:rPr>
          <w:rFonts w:ascii="仿宋_GB2312" w:eastAsia="仿宋_GB2312"/>
          <w:color w:val="000000"/>
          <w:sz w:val="32"/>
          <w:szCs w:val="32"/>
        </w:rPr>
        <w:t>100%</w:t>
      </w:r>
      <w:r>
        <w:rPr>
          <w:rFonts w:hint="eastAsia" w:ascii="仿宋_GB2312" w:eastAsia="仿宋_GB2312"/>
          <w:color w:val="000000"/>
          <w:sz w:val="32"/>
          <w:szCs w:val="32"/>
        </w:rPr>
        <w:t>，100万元以上项目共计5个，涉及金额6324.38万元。2021年区教委针对物业管理费开展成本绩效考评，考评结果在合理区间范围内。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（五）国有资本经营预算财政拨款情况说明</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2022年部门预算未安排国有资本经营预算。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截至2021年12月31日，本部门固定资产总额882.14万元，其中车辆0台。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截至2021年12月31日，单位价值50万元以上的通用设备及单位价值100万元以上的专用设备数量均为0。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2022年部门预算未安排车辆购置，未安排单位价值50万元以上的通用设备及单位价值100万元以上的专用设备的购置项目。</w:t>
      </w:r>
    </w:p>
    <w:p>
      <w:pPr>
        <w:spacing w:line="560" w:lineRule="exact"/>
        <w:ind w:firstLine="555"/>
        <w:outlineLvl w:val="0"/>
        <w:rPr>
          <w:rFonts w:ascii="黑体" w:eastAsia="黑体"/>
          <w:sz w:val="32"/>
          <w:szCs w:val="32"/>
        </w:rPr>
      </w:pPr>
      <w:r>
        <w:rPr>
          <w:rFonts w:hint="eastAsia" w:ascii="黑体" w:eastAsia="黑体"/>
          <w:sz w:val="32"/>
          <w:szCs w:val="32"/>
        </w:rPr>
        <w:t>五、名词解释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机关运行经费是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西城区教育委员会（行政）（本级）</w:t>
      </w:r>
    </w:p>
    <w:p>
      <w:pPr>
        <w:spacing w:beforeLines="50" w:afterLines="50" w:line="560" w:lineRule="exact"/>
        <w:ind w:right="1280"/>
        <w:jc w:val="right"/>
        <w:rPr>
          <w:rFonts w:ascii="仿宋_GB2312" w:hAnsi="宋体" w:eastAsia="仿宋_GB2312"/>
          <w:sz w:val="32"/>
          <w:szCs w:val="32"/>
        </w:rPr>
      </w:pPr>
      <w:r>
        <w:rPr>
          <w:rFonts w:hint="eastAsia" w:ascii="仿宋_GB2312" w:eastAsia="仿宋_GB2312"/>
          <w:sz w:val="32"/>
          <w:szCs w:val="32"/>
        </w:rPr>
        <w:t>2022年1月18日</w:t>
      </w:r>
    </w:p>
    <w:sectPr>
      <w:footerReference r:id="rId3" w:type="default"/>
      <w:footerReference r:id="rId4" w:type="even"/>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BmZGFjNGJlYWQ5YWE5Y2I3YzM1MzI1N2QxZDQzYjUifQ=="/>
  </w:docVars>
  <w:rsids>
    <w:rsidRoot w:val="00C665E5"/>
    <w:rsid w:val="000000B5"/>
    <w:rsid w:val="000004CF"/>
    <w:rsid w:val="0000199E"/>
    <w:rsid w:val="00014ED2"/>
    <w:rsid w:val="000200AF"/>
    <w:rsid w:val="00025E9A"/>
    <w:rsid w:val="00026824"/>
    <w:rsid w:val="00031BF1"/>
    <w:rsid w:val="0004170F"/>
    <w:rsid w:val="00042BEF"/>
    <w:rsid w:val="000506BC"/>
    <w:rsid w:val="000532C7"/>
    <w:rsid w:val="00054B6C"/>
    <w:rsid w:val="0005552F"/>
    <w:rsid w:val="00063782"/>
    <w:rsid w:val="00066469"/>
    <w:rsid w:val="000722E5"/>
    <w:rsid w:val="000729DD"/>
    <w:rsid w:val="00080CE2"/>
    <w:rsid w:val="00086725"/>
    <w:rsid w:val="00091640"/>
    <w:rsid w:val="000A09C3"/>
    <w:rsid w:val="000A11DE"/>
    <w:rsid w:val="000A1D7B"/>
    <w:rsid w:val="000A2F19"/>
    <w:rsid w:val="000A3AEF"/>
    <w:rsid w:val="000A4D75"/>
    <w:rsid w:val="000A7B8C"/>
    <w:rsid w:val="000C2562"/>
    <w:rsid w:val="000C6BCC"/>
    <w:rsid w:val="000D52AA"/>
    <w:rsid w:val="000F0BD5"/>
    <w:rsid w:val="000F77A2"/>
    <w:rsid w:val="00105691"/>
    <w:rsid w:val="00110CA3"/>
    <w:rsid w:val="00114AB0"/>
    <w:rsid w:val="0012122F"/>
    <w:rsid w:val="0012624E"/>
    <w:rsid w:val="00126F21"/>
    <w:rsid w:val="001279BF"/>
    <w:rsid w:val="00132032"/>
    <w:rsid w:val="00136F69"/>
    <w:rsid w:val="001379B2"/>
    <w:rsid w:val="001427CA"/>
    <w:rsid w:val="00151269"/>
    <w:rsid w:val="0015521B"/>
    <w:rsid w:val="001565E9"/>
    <w:rsid w:val="001571DC"/>
    <w:rsid w:val="00177A6D"/>
    <w:rsid w:val="001813C0"/>
    <w:rsid w:val="001824A9"/>
    <w:rsid w:val="00182FEA"/>
    <w:rsid w:val="0018790F"/>
    <w:rsid w:val="00190DAF"/>
    <w:rsid w:val="00194860"/>
    <w:rsid w:val="00195F1D"/>
    <w:rsid w:val="001B455F"/>
    <w:rsid w:val="001B7DED"/>
    <w:rsid w:val="001C7D01"/>
    <w:rsid w:val="001E2A61"/>
    <w:rsid w:val="001E5AB6"/>
    <w:rsid w:val="00205CAD"/>
    <w:rsid w:val="00205CF6"/>
    <w:rsid w:val="00212FC7"/>
    <w:rsid w:val="0021673F"/>
    <w:rsid w:val="00217E0A"/>
    <w:rsid w:val="0022175A"/>
    <w:rsid w:val="00223389"/>
    <w:rsid w:val="0022455D"/>
    <w:rsid w:val="00237FBC"/>
    <w:rsid w:val="00240B03"/>
    <w:rsid w:val="0024230D"/>
    <w:rsid w:val="00242492"/>
    <w:rsid w:val="00243CFC"/>
    <w:rsid w:val="00244FDF"/>
    <w:rsid w:val="0025265E"/>
    <w:rsid w:val="00263689"/>
    <w:rsid w:val="00264CCF"/>
    <w:rsid w:val="00273AA8"/>
    <w:rsid w:val="00283E83"/>
    <w:rsid w:val="0028517D"/>
    <w:rsid w:val="00293C29"/>
    <w:rsid w:val="002A1EE4"/>
    <w:rsid w:val="002A3E6A"/>
    <w:rsid w:val="002A3E79"/>
    <w:rsid w:val="002A5278"/>
    <w:rsid w:val="002A7AA6"/>
    <w:rsid w:val="002B1841"/>
    <w:rsid w:val="002B1844"/>
    <w:rsid w:val="002B324A"/>
    <w:rsid w:val="002B5DDD"/>
    <w:rsid w:val="002B60F6"/>
    <w:rsid w:val="002C241E"/>
    <w:rsid w:val="002E5A54"/>
    <w:rsid w:val="002E68B2"/>
    <w:rsid w:val="002F2963"/>
    <w:rsid w:val="002F4CC8"/>
    <w:rsid w:val="003026AC"/>
    <w:rsid w:val="0030345B"/>
    <w:rsid w:val="00305128"/>
    <w:rsid w:val="003051B5"/>
    <w:rsid w:val="003119E7"/>
    <w:rsid w:val="0032253C"/>
    <w:rsid w:val="00324BEA"/>
    <w:rsid w:val="003266D2"/>
    <w:rsid w:val="00336169"/>
    <w:rsid w:val="00337ECA"/>
    <w:rsid w:val="00341A37"/>
    <w:rsid w:val="00343E35"/>
    <w:rsid w:val="0035117C"/>
    <w:rsid w:val="0035559A"/>
    <w:rsid w:val="003613B6"/>
    <w:rsid w:val="0037006E"/>
    <w:rsid w:val="00370D47"/>
    <w:rsid w:val="003715A0"/>
    <w:rsid w:val="00372B9B"/>
    <w:rsid w:val="003733D8"/>
    <w:rsid w:val="003733E9"/>
    <w:rsid w:val="00373DCB"/>
    <w:rsid w:val="003807E5"/>
    <w:rsid w:val="00395747"/>
    <w:rsid w:val="00395815"/>
    <w:rsid w:val="00395A2F"/>
    <w:rsid w:val="003A0620"/>
    <w:rsid w:val="003A28E9"/>
    <w:rsid w:val="003A30C8"/>
    <w:rsid w:val="003B1AAB"/>
    <w:rsid w:val="003B3860"/>
    <w:rsid w:val="003B638F"/>
    <w:rsid w:val="003C1FBB"/>
    <w:rsid w:val="003C2265"/>
    <w:rsid w:val="003C4880"/>
    <w:rsid w:val="003E0F42"/>
    <w:rsid w:val="003E10E8"/>
    <w:rsid w:val="003E396F"/>
    <w:rsid w:val="003F4FF0"/>
    <w:rsid w:val="00410A03"/>
    <w:rsid w:val="0041685D"/>
    <w:rsid w:val="004203E0"/>
    <w:rsid w:val="00426CE8"/>
    <w:rsid w:val="0042746B"/>
    <w:rsid w:val="004351D8"/>
    <w:rsid w:val="004429DE"/>
    <w:rsid w:val="00450DE1"/>
    <w:rsid w:val="004518C0"/>
    <w:rsid w:val="00454E08"/>
    <w:rsid w:val="004615FD"/>
    <w:rsid w:val="00462D55"/>
    <w:rsid w:val="00465C07"/>
    <w:rsid w:val="00466E14"/>
    <w:rsid w:val="00474179"/>
    <w:rsid w:val="00475463"/>
    <w:rsid w:val="00486EA9"/>
    <w:rsid w:val="004918F1"/>
    <w:rsid w:val="004A3921"/>
    <w:rsid w:val="004B09BD"/>
    <w:rsid w:val="004C022C"/>
    <w:rsid w:val="004C0FE4"/>
    <w:rsid w:val="004C51C8"/>
    <w:rsid w:val="004D4284"/>
    <w:rsid w:val="004D49E1"/>
    <w:rsid w:val="004D74D2"/>
    <w:rsid w:val="004F0E42"/>
    <w:rsid w:val="004F3559"/>
    <w:rsid w:val="004F7552"/>
    <w:rsid w:val="004F79BA"/>
    <w:rsid w:val="005006CF"/>
    <w:rsid w:val="0050303C"/>
    <w:rsid w:val="005034F3"/>
    <w:rsid w:val="00505DF3"/>
    <w:rsid w:val="00506595"/>
    <w:rsid w:val="00510776"/>
    <w:rsid w:val="00515022"/>
    <w:rsid w:val="0051512E"/>
    <w:rsid w:val="00516DBD"/>
    <w:rsid w:val="0052194A"/>
    <w:rsid w:val="005256FB"/>
    <w:rsid w:val="00533593"/>
    <w:rsid w:val="0054596E"/>
    <w:rsid w:val="00555CD4"/>
    <w:rsid w:val="00567C60"/>
    <w:rsid w:val="00567F4C"/>
    <w:rsid w:val="00571123"/>
    <w:rsid w:val="00580A0D"/>
    <w:rsid w:val="00586742"/>
    <w:rsid w:val="00587F01"/>
    <w:rsid w:val="0059388E"/>
    <w:rsid w:val="005967BC"/>
    <w:rsid w:val="005A3157"/>
    <w:rsid w:val="005A5B9A"/>
    <w:rsid w:val="005A6D5E"/>
    <w:rsid w:val="005B1597"/>
    <w:rsid w:val="005C1FDF"/>
    <w:rsid w:val="005E0E4A"/>
    <w:rsid w:val="005E5F06"/>
    <w:rsid w:val="005F210E"/>
    <w:rsid w:val="005F5589"/>
    <w:rsid w:val="005F5EA4"/>
    <w:rsid w:val="005F74D0"/>
    <w:rsid w:val="005F7562"/>
    <w:rsid w:val="00605351"/>
    <w:rsid w:val="00605D87"/>
    <w:rsid w:val="00615D72"/>
    <w:rsid w:val="00630C66"/>
    <w:rsid w:val="00633A94"/>
    <w:rsid w:val="00634C39"/>
    <w:rsid w:val="00641BDF"/>
    <w:rsid w:val="00652691"/>
    <w:rsid w:val="00652889"/>
    <w:rsid w:val="0066014D"/>
    <w:rsid w:val="006673A0"/>
    <w:rsid w:val="00673F7C"/>
    <w:rsid w:val="00677502"/>
    <w:rsid w:val="00690752"/>
    <w:rsid w:val="00694010"/>
    <w:rsid w:val="00696965"/>
    <w:rsid w:val="006A49A2"/>
    <w:rsid w:val="006A6157"/>
    <w:rsid w:val="006B0597"/>
    <w:rsid w:val="006B0A68"/>
    <w:rsid w:val="006C0601"/>
    <w:rsid w:val="006D2759"/>
    <w:rsid w:val="006E0B10"/>
    <w:rsid w:val="006E259A"/>
    <w:rsid w:val="006E7ADF"/>
    <w:rsid w:val="006F41A0"/>
    <w:rsid w:val="00704FC0"/>
    <w:rsid w:val="00706015"/>
    <w:rsid w:val="00721B34"/>
    <w:rsid w:val="00723EF7"/>
    <w:rsid w:val="00724CBE"/>
    <w:rsid w:val="00733166"/>
    <w:rsid w:val="0073392F"/>
    <w:rsid w:val="007468DD"/>
    <w:rsid w:val="007476FB"/>
    <w:rsid w:val="00750A91"/>
    <w:rsid w:val="00756A4F"/>
    <w:rsid w:val="00756F10"/>
    <w:rsid w:val="00770BEE"/>
    <w:rsid w:val="00770FF7"/>
    <w:rsid w:val="007716A8"/>
    <w:rsid w:val="00772581"/>
    <w:rsid w:val="0077341B"/>
    <w:rsid w:val="00776DF5"/>
    <w:rsid w:val="00781FBC"/>
    <w:rsid w:val="00792A6A"/>
    <w:rsid w:val="007A20DA"/>
    <w:rsid w:val="007A3C28"/>
    <w:rsid w:val="007C016A"/>
    <w:rsid w:val="007C46B8"/>
    <w:rsid w:val="007D6305"/>
    <w:rsid w:val="007E5042"/>
    <w:rsid w:val="007F2511"/>
    <w:rsid w:val="007F25A7"/>
    <w:rsid w:val="00812CE2"/>
    <w:rsid w:val="00816D29"/>
    <w:rsid w:val="008257B8"/>
    <w:rsid w:val="008273B3"/>
    <w:rsid w:val="008363A9"/>
    <w:rsid w:val="0083669D"/>
    <w:rsid w:val="008424D8"/>
    <w:rsid w:val="0085411C"/>
    <w:rsid w:val="00854951"/>
    <w:rsid w:val="00865B8C"/>
    <w:rsid w:val="00867FC0"/>
    <w:rsid w:val="00874C06"/>
    <w:rsid w:val="00880AFF"/>
    <w:rsid w:val="00886551"/>
    <w:rsid w:val="00890F7D"/>
    <w:rsid w:val="008A4A13"/>
    <w:rsid w:val="008B1640"/>
    <w:rsid w:val="008B2E52"/>
    <w:rsid w:val="008C05F7"/>
    <w:rsid w:val="008C7618"/>
    <w:rsid w:val="008D0B34"/>
    <w:rsid w:val="008D1730"/>
    <w:rsid w:val="008D385D"/>
    <w:rsid w:val="008D7CE9"/>
    <w:rsid w:val="008E229F"/>
    <w:rsid w:val="008E56FC"/>
    <w:rsid w:val="00900E25"/>
    <w:rsid w:val="00903DD0"/>
    <w:rsid w:val="00904892"/>
    <w:rsid w:val="0091063E"/>
    <w:rsid w:val="00911E68"/>
    <w:rsid w:val="00914541"/>
    <w:rsid w:val="009209F2"/>
    <w:rsid w:val="0092748A"/>
    <w:rsid w:val="00927590"/>
    <w:rsid w:val="0093429A"/>
    <w:rsid w:val="009470E6"/>
    <w:rsid w:val="0095527B"/>
    <w:rsid w:val="00962D7A"/>
    <w:rsid w:val="009634F5"/>
    <w:rsid w:val="009674D8"/>
    <w:rsid w:val="0098237A"/>
    <w:rsid w:val="00986723"/>
    <w:rsid w:val="00986CD5"/>
    <w:rsid w:val="009877D0"/>
    <w:rsid w:val="00990266"/>
    <w:rsid w:val="00993E11"/>
    <w:rsid w:val="009956F3"/>
    <w:rsid w:val="009A27A7"/>
    <w:rsid w:val="009A33E9"/>
    <w:rsid w:val="009A5091"/>
    <w:rsid w:val="009A69A3"/>
    <w:rsid w:val="009A71A8"/>
    <w:rsid w:val="009B3014"/>
    <w:rsid w:val="009B4897"/>
    <w:rsid w:val="009C15BA"/>
    <w:rsid w:val="009C6720"/>
    <w:rsid w:val="009C6DE9"/>
    <w:rsid w:val="009D78DC"/>
    <w:rsid w:val="009E43A4"/>
    <w:rsid w:val="009F06ED"/>
    <w:rsid w:val="009F69B0"/>
    <w:rsid w:val="00A01E3A"/>
    <w:rsid w:val="00A01F68"/>
    <w:rsid w:val="00A06D78"/>
    <w:rsid w:val="00A16D88"/>
    <w:rsid w:val="00A20ADD"/>
    <w:rsid w:val="00A2432A"/>
    <w:rsid w:val="00A24EF3"/>
    <w:rsid w:val="00A36B41"/>
    <w:rsid w:val="00A42A67"/>
    <w:rsid w:val="00A4576E"/>
    <w:rsid w:val="00A4652D"/>
    <w:rsid w:val="00A568A6"/>
    <w:rsid w:val="00A61859"/>
    <w:rsid w:val="00A70B93"/>
    <w:rsid w:val="00A75C13"/>
    <w:rsid w:val="00A801CD"/>
    <w:rsid w:val="00A95132"/>
    <w:rsid w:val="00A957B5"/>
    <w:rsid w:val="00AA6E05"/>
    <w:rsid w:val="00AB02EA"/>
    <w:rsid w:val="00AC053E"/>
    <w:rsid w:val="00AC0943"/>
    <w:rsid w:val="00AC14EB"/>
    <w:rsid w:val="00AC4D12"/>
    <w:rsid w:val="00AC647F"/>
    <w:rsid w:val="00AD12BE"/>
    <w:rsid w:val="00AD334B"/>
    <w:rsid w:val="00AD36A1"/>
    <w:rsid w:val="00AD3712"/>
    <w:rsid w:val="00AD61B5"/>
    <w:rsid w:val="00AE2B94"/>
    <w:rsid w:val="00AF0A62"/>
    <w:rsid w:val="00AF64E3"/>
    <w:rsid w:val="00B00084"/>
    <w:rsid w:val="00B0441C"/>
    <w:rsid w:val="00B27E8E"/>
    <w:rsid w:val="00B354AA"/>
    <w:rsid w:val="00B35D67"/>
    <w:rsid w:val="00B36ABA"/>
    <w:rsid w:val="00B406EE"/>
    <w:rsid w:val="00B419C8"/>
    <w:rsid w:val="00B54C1C"/>
    <w:rsid w:val="00B5700F"/>
    <w:rsid w:val="00B753ED"/>
    <w:rsid w:val="00B77453"/>
    <w:rsid w:val="00B8337F"/>
    <w:rsid w:val="00B84C02"/>
    <w:rsid w:val="00B87FC8"/>
    <w:rsid w:val="00B91A7E"/>
    <w:rsid w:val="00B92C6D"/>
    <w:rsid w:val="00B94E7E"/>
    <w:rsid w:val="00B94E96"/>
    <w:rsid w:val="00BA2123"/>
    <w:rsid w:val="00BB292C"/>
    <w:rsid w:val="00BB434F"/>
    <w:rsid w:val="00BB7EB2"/>
    <w:rsid w:val="00BD1F89"/>
    <w:rsid w:val="00BD50D7"/>
    <w:rsid w:val="00BD5613"/>
    <w:rsid w:val="00BE4897"/>
    <w:rsid w:val="00BF477B"/>
    <w:rsid w:val="00BF6800"/>
    <w:rsid w:val="00BF6B39"/>
    <w:rsid w:val="00C1144D"/>
    <w:rsid w:val="00C174A8"/>
    <w:rsid w:val="00C21DA6"/>
    <w:rsid w:val="00C23526"/>
    <w:rsid w:val="00C276BA"/>
    <w:rsid w:val="00C31709"/>
    <w:rsid w:val="00C53080"/>
    <w:rsid w:val="00C54685"/>
    <w:rsid w:val="00C63639"/>
    <w:rsid w:val="00C665E5"/>
    <w:rsid w:val="00C6771C"/>
    <w:rsid w:val="00C71205"/>
    <w:rsid w:val="00C756F1"/>
    <w:rsid w:val="00C801A7"/>
    <w:rsid w:val="00C90F6D"/>
    <w:rsid w:val="00C93C4D"/>
    <w:rsid w:val="00C947C4"/>
    <w:rsid w:val="00C94AA5"/>
    <w:rsid w:val="00CA7C75"/>
    <w:rsid w:val="00CB0E7D"/>
    <w:rsid w:val="00CB589A"/>
    <w:rsid w:val="00CC4598"/>
    <w:rsid w:val="00CC7109"/>
    <w:rsid w:val="00CD1FE1"/>
    <w:rsid w:val="00CE3BA9"/>
    <w:rsid w:val="00CE3D95"/>
    <w:rsid w:val="00CE5291"/>
    <w:rsid w:val="00CF1E73"/>
    <w:rsid w:val="00CF2F50"/>
    <w:rsid w:val="00CF597D"/>
    <w:rsid w:val="00CF7CF4"/>
    <w:rsid w:val="00D0217C"/>
    <w:rsid w:val="00D1296F"/>
    <w:rsid w:val="00D15CAF"/>
    <w:rsid w:val="00D17D3E"/>
    <w:rsid w:val="00D21EBA"/>
    <w:rsid w:val="00D232A2"/>
    <w:rsid w:val="00D247A5"/>
    <w:rsid w:val="00D30DF5"/>
    <w:rsid w:val="00D33106"/>
    <w:rsid w:val="00D3499E"/>
    <w:rsid w:val="00D40110"/>
    <w:rsid w:val="00D421EC"/>
    <w:rsid w:val="00D45BA9"/>
    <w:rsid w:val="00D52DFE"/>
    <w:rsid w:val="00D62D29"/>
    <w:rsid w:val="00D63C4C"/>
    <w:rsid w:val="00D66BA4"/>
    <w:rsid w:val="00D67318"/>
    <w:rsid w:val="00D70053"/>
    <w:rsid w:val="00D70828"/>
    <w:rsid w:val="00D72DCB"/>
    <w:rsid w:val="00D77A21"/>
    <w:rsid w:val="00D8047F"/>
    <w:rsid w:val="00D94E13"/>
    <w:rsid w:val="00DA4C29"/>
    <w:rsid w:val="00DB16FB"/>
    <w:rsid w:val="00DB1C51"/>
    <w:rsid w:val="00DB1CD1"/>
    <w:rsid w:val="00DB4D28"/>
    <w:rsid w:val="00DC17A8"/>
    <w:rsid w:val="00DC3D8D"/>
    <w:rsid w:val="00DC45DA"/>
    <w:rsid w:val="00DD202D"/>
    <w:rsid w:val="00DE58B6"/>
    <w:rsid w:val="00DF17BF"/>
    <w:rsid w:val="00E01385"/>
    <w:rsid w:val="00E0175C"/>
    <w:rsid w:val="00E0197C"/>
    <w:rsid w:val="00E13320"/>
    <w:rsid w:val="00E136D8"/>
    <w:rsid w:val="00E21B63"/>
    <w:rsid w:val="00E230AA"/>
    <w:rsid w:val="00E24E1B"/>
    <w:rsid w:val="00E2681D"/>
    <w:rsid w:val="00E32E56"/>
    <w:rsid w:val="00E37AED"/>
    <w:rsid w:val="00E52949"/>
    <w:rsid w:val="00E66D85"/>
    <w:rsid w:val="00E674DA"/>
    <w:rsid w:val="00E712E2"/>
    <w:rsid w:val="00E749A3"/>
    <w:rsid w:val="00E753BC"/>
    <w:rsid w:val="00E80F52"/>
    <w:rsid w:val="00E8731B"/>
    <w:rsid w:val="00E917B7"/>
    <w:rsid w:val="00E954BD"/>
    <w:rsid w:val="00EA1488"/>
    <w:rsid w:val="00EA6B78"/>
    <w:rsid w:val="00EC3596"/>
    <w:rsid w:val="00EC5D71"/>
    <w:rsid w:val="00EC73AF"/>
    <w:rsid w:val="00ED485D"/>
    <w:rsid w:val="00EE5B31"/>
    <w:rsid w:val="00EE5D24"/>
    <w:rsid w:val="00EF2DE4"/>
    <w:rsid w:val="00EF4750"/>
    <w:rsid w:val="00EF5AA3"/>
    <w:rsid w:val="00F02FE7"/>
    <w:rsid w:val="00F04061"/>
    <w:rsid w:val="00F06077"/>
    <w:rsid w:val="00F063AA"/>
    <w:rsid w:val="00F07956"/>
    <w:rsid w:val="00F16DA6"/>
    <w:rsid w:val="00F3062A"/>
    <w:rsid w:val="00F34604"/>
    <w:rsid w:val="00F34E38"/>
    <w:rsid w:val="00F36310"/>
    <w:rsid w:val="00F44C82"/>
    <w:rsid w:val="00F57B1B"/>
    <w:rsid w:val="00F608A7"/>
    <w:rsid w:val="00F6657B"/>
    <w:rsid w:val="00F700FA"/>
    <w:rsid w:val="00F75428"/>
    <w:rsid w:val="00F76BED"/>
    <w:rsid w:val="00F80664"/>
    <w:rsid w:val="00F81047"/>
    <w:rsid w:val="00F84454"/>
    <w:rsid w:val="00F87154"/>
    <w:rsid w:val="00F87C40"/>
    <w:rsid w:val="00F91812"/>
    <w:rsid w:val="00FA3CAA"/>
    <w:rsid w:val="00FA51F8"/>
    <w:rsid w:val="00FA638A"/>
    <w:rsid w:val="00FA6F31"/>
    <w:rsid w:val="00FB2810"/>
    <w:rsid w:val="00FB4988"/>
    <w:rsid w:val="00FB60BC"/>
    <w:rsid w:val="00FC5E2F"/>
    <w:rsid w:val="00FC76A6"/>
    <w:rsid w:val="00FE2ECB"/>
    <w:rsid w:val="00FE5A75"/>
    <w:rsid w:val="45A6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jc w:val="center"/>
      <w:outlineLvl w:val="0"/>
    </w:pPr>
    <w:rPr>
      <w:rFonts w:ascii="Cambria" w:hAnsi="Cambria"/>
      <w:b/>
      <w:bCs/>
      <w:sz w:val="32"/>
      <w:szCs w:val="32"/>
    </w:rPr>
  </w:style>
  <w:style w:type="character" w:styleId="8">
    <w:name w:val="page number"/>
    <w:basedOn w:val="7"/>
    <w:uiPriority w:val="0"/>
  </w:style>
  <w:style w:type="character" w:customStyle="1" w:styleId="9">
    <w:name w:val="页脚 Char"/>
    <w:basedOn w:val="7"/>
    <w:link w:val="3"/>
    <w:uiPriority w:val="0"/>
    <w:rPr>
      <w:rFonts w:ascii="Times New Roman" w:hAnsi="Times New Roman" w:eastAsia="宋体" w:cs="Times New Roman"/>
      <w:sz w:val="18"/>
      <w:szCs w:val="18"/>
    </w:rPr>
  </w:style>
  <w:style w:type="character" w:customStyle="1" w:styleId="10">
    <w:name w:val="页眉 Char"/>
    <w:basedOn w:val="7"/>
    <w:link w:val="4"/>
    <w:semiHidden/>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rFonts w:ascii="Times New Roman" w:hAnsi="Times New Roman"/>
      <w:kern w:val="2"/>
      <w:sz w:val="18"/>
      <w:szCs w:val="18"/>
    </w:rPr>
  </w:style>
  <w:style w:type="character" w:customStyle="1" w:styleId="13">
    <w:name w:val="标题 Char"/>
    <w:basedOn w:val="7"/>
    <w:link w:val="5"/>
    <w:uiPriority w:val="0"/>
    <w:rPr>
      <w:rFonts w:ascii="Cambria" w:hAnsi="Cambria"/>
      <w:b/>
      <w:bCs/>
      <w:kern w:val="2"/>
      <w:sz w:val="32"/>
      <w:szCs w:val="32"/>
    </w:rPr>
  </w:style>
  <w:style w:type="character" w:customStyle="1" w:styleId="14">
    <w:name w:val="font4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704F-7761-4D39-B73A-3BAB4689DA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1770</Words>
  <Characters>2025</Characters>
  <Lines>14</Lines>
  <Paragraphs>4</Paragraphs>
  <TotalTime>6</TotalTime>
  <ScaleCrop>false</ScaleCrop>
  <LinksUpToDate>false</LinksUpToDate>
  <CharactersWithSpaces>2037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2018-02-12T02:33:00Z</dcterms:created>
  <dc:creator>微软用户</dc:creator>
  <cp:lastModifiedBy>赵</cp:lastModifiedBy>
  <cp:lastPrinted>2021-01-27T07:44:00Z</cp:lastPrinted>
  <dcterms:modified xsi:type="dcterms:W3CDTF">2022-11-08T12:48:14Z</dcterms:modified>
  <dc:title>附件1：</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F5F3D3C7EF5D46BDB5AC0B4BB20C19E1</vt:lpwstr>
  </property>
</Properties>
</file>