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/>
          <w:color w:val="000000"/>
          <w:sz w:val="44"/>
          <w:szCs w:val="44"/>
        </w:rPr>
        <w:t xml:space="preserve">   </w:t>
      </w:r>
      <w:r>
        <w:rPr>
          <w:rFonts w:hint="eastAsia" w:ascii="宋体"/>
          <w:b/>
          <w:color w:val="000000"/>
          <w:sz w:val="44"/>
          <w:szCs w:val="44"/>
        </w:rPr>
        <w:t>西城区园林绿化局2022年</w:t>
      </w:r>
      <w:r>
        <w:rPr>
          <w:rFonts w:ascii="宋体"/>
          <w:b/>
          <w:color w:val="000000"/>
          <w:sz w:val="44"/>
          <w:szCs w:val="44"/>
        </w:rPr>
        <w:t>部门预算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2022年</w:t>
      </w:r>
      <w:r>
        <w:rPr>
          <w:rFonts w:ascii="黑体" w:eastAsia="黑体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2022年部门预算收支及增减变化情况说明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964" w:firstLineChars="3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第二部分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2022年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预</w:t>
      </w:r>
      <w:r>
        <w:rPr>
          <w:rFonts w:ascii="黑体" w:eastAsia="黑体"/>
          <w:color w:val="000000"/>
          <w:sz w:val="32"/>
          <w:szCs w:val="32"/>
        </w:rPr>
        <w:t>算</w:t>
      </w:r>
      <w:r>
        <w:rPr>
          <w:rFonts w:hint="eastAsia" w:ascii="黑体" w:eastAsia="黑体"/>
          <w:color w:val="000000"/>
          <w:sz w:val="32"/>
          <w:szCs w:val="32"/>
        </w:rPr>
        <w:t>表</w:t>
      </w:r>
    </w:p>
    <w:p>
      <w:pPr>
        <w:spacing w:line="560" w:lineRule="exact"/>
        <w:ind w:firstLine="320" w:firstLineChars="100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详见附表文件。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</w:rPr>
        <w:t>2022年</w:t>
      </w:r>
      <w:r>
        <w:rPr>
          <w:rFonts w:ascii="楷体" w:eastAsia="楷体"/>
          <w:b/>
          <w:color w:val="000000"/>
          <w:sz w:val="36"/>
          <w:szCs w:val="36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区园林绿化局（区绿化办）是负责本区园林绿化工作的区政府工作部门，内设6个科室。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hint="eastAsia" w:ascii="楷体" w:hAnsi="楷体" w:eastAsia="仿宋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（四）组织落实园林绿化的地方标准和规范</w:t>
      </w:r>
      <w:r>
        <w:rPr>
          <w:rFonts w:hint="eastAsia" w:ascii="楷体" w:hAnsi="楷体" w:eastAsia="仿宋"/>
          <w:sz w:val="32"/>
          <w:szCs w:val="32"/>
        </w:rPr>
        <w:t>；负责本区园林绿化建设项目的立项和专项资金使用的</w:t>
      </w:r>
      <w:r>
        <w:rPr>
          <w:rFonts w:hint="eastAsia" w:ascii="楷体" w:hAnsi="楷体" w:eastAsia="仿宋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>
      <w:pPr>
        <w:spacing w:line="360" w:lineRule="auto"/>
        <w:ind w:firstLine="640" w:firstLineChars="200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（一）负责区域内园林绿化安全生产工作的行业监督管理，指导区</w:t>
      </w:r>
      <w:r>
        <w:rPr>
          <w:rFonts w:hint="eastAsia" w:ascii="楷体" w:hAnsi="楷体" w:eastAsia="仿宋"/>
          <w:color w:val="000000"/>
          <w:sz w:val="32"/>
          <w:szCs w:val="32"/>
        </w:rPr>
        <w:t>相关部门</w:t>
      </w:r>
      <w:r>
        <w:rPr>
          <w:rFonts w:hint="eastAsia" w:ascii="楷体" w:hAnsi="楷体" w:eastAsia="仿宋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二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360" w:lineRule="auto"/>
        <w:ind w:firstLine="556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西城区园林绿化局实有行政人员30人；退休人员52人。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2022年部门预算收支及增减变化情况说明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(一)收入预算说明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2022年西城区园林绿化局部门预算收入</w:t>
      </w:r>
      <w:r>
        <w:rPr>
          <w:rFonts w:ascii="仿宋_GB2312" w:hAnsi="Batang" w:eastAsia="仿宋_GB2312" w:cs="Times New Roman"/>
          <w:sz w:val="32"/>
          <w:szCs w:val="32"/>
        </w:rPr>
        <w:t>1467.84</w:t>
      </w:r>
      <w:r>
        <w:rPr>
          <w:rFonts w:hint="eastAsia" w:ascii="仿宋" w:eastAsia="仿宋"/>
          <w:sz w:val="32"/>
          <w:szCs w:val="32"/>
        </w:rPr>
        <w:t>万元比2021年收入1421.24万元增加46.6万元。其中：财政拨款</w:t>
      </w:r>
      <w:r>
        <w:rPr>
          <w:rFonts w:ascii="仿宋_GB2312" w:hAnsi="Batang" w:eastAsia="仿宋_GB2312" w:cs="Times New Roman"/>
          <w:sz w:val="32"/>
          <w:szCs w:val="32"/>
        </w:rPr>
        <w:t>1467.84</w:t>
      </w:r>
      <w:r>
        <w:rPr>
          <w:rFonts w:hint="eastAsia" w:ascii="仿宋" w:eastAsia="仿宋"/>
          <w:sz w:val="32"/>
          <w:szCs w:val="32"/>
        </w:rPr>
        <w:t>万元</w:t>
      </w:r>
      <w:r>
        <w:rPr>
          <w:rFonts w:hint="eastAsia" w:ascii="仿宋" w:eastAsia="仿宋"/>
          <w:kern w:val="0"/>
          <w:sz w:val="32"/>
          <w:szCs w:val="32"/>
        </w:rPr>
        <w:t>,增加3.28%，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主要是</w:t>
      </w:r>
      <w:r>
        <w:rPr>
          <w:rFonts w:hint="eastAsia" w:ascii="仿宋" w:eastAsia="仿宋"/>
          <w:color w:val="000000"/>
          <w:sz w:val="32"/>
          <w:szCs w:val="32"/>
        </w:rPr>
        <w:t>工作需要部分项目有所调整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所致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市级转移支付资金2200万元，主要用于西城区全龄公园建设及古树名木的管理工作。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(二)支出预算说明</w:t>
      </w:r>
    </w:p>
    <w:p>
      <w:pPr>
        <w:spacing w:line="360" w:lineRule="auto"/>
        <w:ind w:firstLine="555"/>
        <w:rPr>
          <w:rFonts w:ascii="仿宋" w:eastAsia="仿宋"/>
          <w:color w:val="0D1E0F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2022年支出预算按用途划分：（1）基本支出预算1144.91万元，比2021年1174.87万元减少29.96万元，减少2.55%。其中：2022年公用支出96.19万元</w:t>
      </w:r>
      <w:r>
        <w:rPr>
          <w:rFonts w:hint="eastAsia" w:ascii="仿宋" w:eastAsia="仿宋"/>
          <w:color w:val="000000"/>
          <w:sz w:val="32"/>
          <w:szCs w:val="32"/>
        </w:rPr>
        <w:t>，比</w:t>
      </w:r>
      <w:r>
        <w:rPr>
          <w:rFonts w:hint="eastAsia" w:ascii="仿宋" w:eastAsia="仿宋"/>
          <w:sz w:val="32"/>
          <w:szCs w:val="32"/>
        </w:rPr>
        <w:t>2021年90.11</w:t>
      </w:r>
      <w:r>
        <w:rPr>
          <w:rFonts w:hint="eastAsia" w:ascii="仿宋" w:eastAsia="仿宋" w:cs="宋体"/>
          <w:color w:val="000000"/>
          <w:kern w:val="0"/>
          <w:sz w:val="32"/>
          <w:szCs w:val="32"/>
        </w:rPr>
        <w:t>万</w:t>
      </w:r>
      <w:r>
        <w:rPr>
          <w:rFonts w:hint="eastAsia" w:ascii="仿宋" w:eastAsia="仿宋"/>
          <w:sz w:val="32"/>
          <w:szCs w:val="32"/>
        </w:rPr>
        <w:t>元，增加6.08万元，增加6.75%，</w:t>
      </w:r>
      <w:r>
        <w:rPr>
          <w:rFonts w:hint="eastAsia" w:ascii="仿宋" w:eastAsia="仿宋"/>
          <w:color w:val="000000"/>
          <w:sz w:val="32"/>
          <w:szCs w:val="32"/>
        </w:rPr>
        <w:t>主要原因是伙食费标准提高所致</w:t>
      </w:r>
      <w:r>
        <w:rPr>
          <w:rFonts w:hint="eastAsia" w:ascii="仿宋" w:eastAsia="仿宋"/>
          <w:sz w:val="32"/>
          <w:szCs w:val="32"/>
        </w:rPr>
        <w:t>。</w:t>
      </w:r>
      <w:r>
        <w:rPr>
          <w:rFonts w:hint="eastAsia" w:ascii="楷体" w:hAnsi="楷体" w:eastAsia="仿宋"/>
          <w:sz w:val="32"/>
          <w:szCs w:val="32"/>
        </w:rPr>
        <w:t>（2）项目支出预算322.93万元，</w:t>
      </w:r>
      <w:r>
        <w:rPr>
          <w:rFonts w:hint="eastAsia" w:ascii="仿宋" w:eastAsia="仿宋"/>
          <w:sz w:val="32"/>
          <w:szCs w:val="32"/>
        </w:rPr>
        <w:t>比2021年</w:t>
      </w:r>
      <w:r>
        <w:rPr>
          <w:rFonts w:hint="eastAsia" w:ascii="楷体" w:hAnsi="楷体" w:eastAsia="仿宋"/>
          <w:sz w:val="32"/>
          <w:szCs w:val="32"/>
        </w:rPr>
        <w:t>246.37万</w:t>
      </w:r>
      <w:r>
        <w:rPr>
          <w:rFonts w:hint="eastAsia" w:ascii="仿宋_GB2312" w:hAnsi="仿宋_GB2312" w:eastAsia="仿宋"/>
          <w:sz w:val="32"/>
          <w:szCs w:val="32"/>
        </w:rPr>
        <w:t>元，增加76.56万元，增加31.08%，</w:t>
      </w:r>
      <w:r>
        <w:rPr>
          <w:rFonts w:hint="eastAsia" w:ascii="楷体" w:hAnsi="楷体" w:eastAsia="仿宋"/>
          <w:color w:val="0D1E0F"/>
          <w:sz w:val="32"/>
          <w:szCs w:val="32"/>
        </w:rPr>
        <w:t>主要是工作任务调整,项目内容有所增加。2022年主要项目是</w:t>
      </w:r>
      <w:r>
        <w:rPr>
          <w:rFonts w:hint="eastAsia" w:ascii="仿宋" w:eastAsia="仿宋"/>
          <w:color w:val="0D1E0F"/>
          <w:sz w:val="32"/>
          <w:szCs w:val="32"/>
        </w:rPr>
        <w:t>治理杨柳飞絮专项经费46.42万元；危险性林木有害生物防控46.84万元等。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市级转移支付资金2200万元，主要用于西城区全龄公园建设及古树名木的管理工作。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360" w:lineRule="auto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我单位主要支出为城乡社区支出，涉及资金</w:t>
      </w:r>
      <w:r>
        <w:rPr>
          <w:rFonts w:ascii="仿宋_GB2312" w:eastAsia="仿宋_GB2312"/>
          <w:color w:val="000000"/>
          <w:sz w:val="32"/>
          <w:szCs w:val="32"/>
        </w:rPr>
        <w:t>10920675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/>
          <w:color w:val="000000"/>
          <w:sz w:val="32"/>
          <w:szCs w:val="32"/>
        </w:rPr>
        <w:t>84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</w:rPr>
        <w:t>北京市西城区园林绿化局(本级)部门预算中因公出国（境）费、公务接待费、公务用车购置及运行维护费的支出单位包括1个所属单位。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2022年部门预算“三公”经费财政拨款预算安排8382.71元，比2021年财政预算数8427.45元，减少44.74元。其中：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1、因公出国（境）费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2022年财政拨款预算安排0万元, 与2021年财政预算数持平。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2、公务接待费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2022年财政拨款预算安排8382.71元，比2021年预算安排8427.45元减少44.74元, 主要原因是计提基数减少所致。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3、公务用车购置及运行维护费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2022年公务用车预算数量为0辆，财政拨款预算安排0元，其中公务用车购置费0万元，公务用车运行维护费0元，与2021年财政预算数持平。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480" w:firstLineChars="150"/>
        <w:jc w:val="left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</w:rPr>
        <w:t>2022</w:t>
      </w:r>
      <w:r>
        <w:rPr>
          <w:rFonts w:hint="eastAsia" w:ascii="楷体" w:hAnsi="楷体" w:eastAsia="仿宋"/>
          <w:sz w:val="32"/>
          <w:szCs w:val="32"/>
        </w:rPr>
        <w:t>年本部门(本级）履行一般行政事业管理职能、维持机关运行，用于一般公共预算安排的行政运行经费，合计</w:t>
      </w:r>
      <w:r>
        <w:rPr>
          <w:rFonts w:ascii="楷体" w:hAnsi="楷体" w:eastAsia="仿宋"/>
          <w:sz w:val="32"/>
          <w:szCs w:val="32"/>
        </w:rPr>
        <w:t>107.6</w:t>
      </w:r>
      <w:r>
        <w:rPr>
          <w:rFonts w:hint="eastAsia" w:ascii="楷体" w:hAnsi="楷体" w:eastAsia="仿宋"/>
          <w:sz w:val="32"/>
          <w:szCs w:val="32"/>
        </w:rPr>
        <w:t xml:space="preserve">万元,                                                                                                                           </w:t>
      </w:r>
      <w:r>
        <w:rPr>
          <w:rFonts w:hint="eastAsia" w:ascii="仿宋" w:eastAsia="仿宋"/>
          <w:sz w:val="32"/>
          <w:szCs w:val="32"/>
        </w:rPr>
        <w:t>比2021年机关运行经费</w:t>
      </w:r>
      <w:r>
        <w:rPr>
          <w:rFonts w:hint="eastAsia" w:ascii="楷体" w:hAnsi="楷体" w:eastAsia="仿宋"/>
          <w:sz w:val="32"/>
          <w:szCs w:val="32"/>
        </w:rPr>
        <w:t>90.11</w:t>
      </w:r>
      <w:r>
        <w:rPr>
          <w:rFonts w:hint="eastAsia" w:ascii="仿宋" w:eastAsia="仿宋" w:cs="宋体"/>
          <w:color w:val="000000"/>
          <w:kern w:val="0"/>
          <w:sz w:val="32"/>
          <w:szCs w:val="32"/>
        </w:rPr>
        <w:t>万</w:t>
      </w:r>
      <w:r>
        <w:rPr>
          <w:rFonts w:hint="eastAsia" w:ascii="仿宋" w:eastAsia="仿宋"/>
          <w:sz w:val="32"/>
          <w:szCs w:val="32"/>
        </w:rPr>
        <w:t>元，增加17.49万元，增长19.41%，</w:t>
      </w:r>
      <w:r>
        <w:rPr>
          <w:rFonts w:hint="eastAsia" w:ascii="仿宋" w:eastAsia="仿宋"/>
          <w:color w:val="000000"/>
          <w:sz w:val="32"/>
          <w:szCs w:val="32"/>
        </w:rPr>
        <w:t>主要原因是政策变化和人员增加所致。</w:t>
      </w:r>
    </w:p>
    <w:p>
      <w:pPr>
        <w:spacing w:line="360" w:lineRule="auto"/>
        <w:ind w:firstLine="480" w:firstLineChars="15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360" w:lineRule="auto"/>
        <w:ind w:firstLine="480" w:firstLineChars="150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FF0000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</w:rPr>
        <w:t>2022</w:t>
      </w:r>
      <w:r>
        <w:rPr>
          <w:rFonts w:hint="eastAsia" w:ascii="楷体" w:hAnsi="楷体" w:eastAsia="仿宋"/>
          <w:color w:val="000000"/>
          <w:sz w:val="32"/>
          <w:szCs w:val="32"/>
        </w:rPr>
        <w:t>年涉及政府采购项目0个，预算资金0万元，比2021年涉及政府采购项目2个，预算资金42.23万元减少 42.23万元</w:t>
      </w:r>
      <w:r>
        <w:rPr>
          <w:rFonts w:hint="eastAsia" w:ascii="仿宋" w:eastAsia="仿宋"/>
          <w:color w:val="000000"/>
          <w:sz w:val="32"/>
          <w:szCs w:val="32"/>
        </w:rPr>
        <w:t>,主要原因是具体工作需要,上级转移支付项目待细化分配所致。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360" w:lineRule="auto"/>
        <w:ind w:firstLine="480" w:firstLineChars="1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2022年涉及政府购买服务项目5个，预算资金81.13 万元，比2021年涉及政府购买服务项目8个，预算资金118.22万元，减少37.09万元，主要原因是按职能正常压缩购买服务比例所致。</w:t>
      </w:r>
    </w:p>
    <w:p>
      <w:pPr>
        <w:spacing w:line="360" w:lineRule="auto"/>
        <w:ind w:firstLine="640" w:firstLineChars="20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  <w:lang w:val="en-US" w:eastAsia="zh-CN"/>
        </w:rPr>
        <w:t>2022年的政府采购服务，</w:t>
      </w:r>
      <w:r>
        <w:rPr>
          <w:rFonts w:hint="eastAsia" w:ascii="仿宋" w:eastAsia="仿宋" w:cs="Arial"/>
          <w:sz w:val="32"/>
          <w:szCs w:val="32"/>
          <w:lang w:eastAsia="zh-CN"/>
        </w:rPr>
        <w:t>分别为以下几个</w:t>
      </w:r>
      <w:r>
        <w:rPr>
          <w:rFonts w:hint="eastAsia" w:ascii="仿宋" w:eastAsia="仿宋" w:cs="Arial"/>
          <w:sz w:val="32"/>
          <w:szCs w:val="32"/>
        </w:rPr>
        <w:t>项目：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>1、安全应急工作（培训和安全生产）1.06万元。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2、法律顾问服务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15</w:t>
      </w:r>
      <w:r>
        <w:rPr>
          <w:rFonts w:hint="eastAsia" w:ascii="仿宋" w:eastAsia="仿宋" w:cs="Arial"/>
          <w:sz w:val="32"/>
          <w:szCs w:val="32"/>
        </w:rPr>
        <w:t xml:space="preserve"> 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3、物业服务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22.4262</w:t>
      </w:r>
      <w:r>
        <w:rPr>
          <w:rFonts w:hint="eastAsia" w:ascii="仿宋" w:eastAsia="仿宋" w:cs="Arial"/>
          <w:sz w:val="32"/>
          <w:szCs w:val="32"/>
        </w:rPr>
        <w:t>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4、园林绿化资源动态监测评价服务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10</w:t>
      </w:r>
      <w:r>
        <w:rPr>
          <w:rFonts w:hint="eastAsia" w:ascii="仿宋" w:eastAsia="仿宋" w:cs="Arial"/>
          <w:sz w:val="32"/>
          <w:szCs w:val="32"/>
        </w:rPr>
        <w:t xml:space="preserve"> 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5、运行管理服务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32.64</w:t>
      </w:r>
      <w:r>
        <w:rPr>
          <w:rFonts w:hint="eastAsia" w:ascii="仿宋" w:eastAsia="仿宋" w:cs="Arial"/>
          <w:sz w:val="32"/>
          <w:szCs w:val="32"/>
        </w:rPr>
        <w:t xml:space="preserve"> 万元。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绩效目标情况</w:t>
      </w:r>
      <w:r>
        <w:rPr>
          <w:rFonts w:hint="eastAsia" w:ascii="仿宋_GB2312" w:eastAsia="仿宋_GB2312"/>
          <w:sz w:val="32"/>
          <w:szCs w:val="32"/>
        </w:rPr>
        <w:t>及绩效评价结果</w:t>
      </w:r>
      <w:r>
        <w:rPr>
          <w:rFonts w:ascii="仿宋_GB2312" w:eastAsia="仿宋_GB2312"/>
          <w:sz w:val="32"/>
          <w:szCs w:val="32"/>
        </w:rPr>
        <w:t>说明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2022年填报绩效目标的预算项目为17个，金额为2594.23万元。</w:t>
      </w:r>
      <w:r>
        <w:rPr>
          <w:rFonts w:ascii="仿宋_GB2312" w:eastAsia="仿宋_GB2312"/>
          <w:sz w:val="32"/>
          <w:szCs w:val="32"/>
        </w:rPr>
        <w:t>其中包括市级转移支付资金项目6</w:t>
      </w:r>
      <w:r>
        <w:rPr>
          <w:rFonts w:hint="eastAsia" w:ascii="仿宋_GB2312" w:eastAsia="仿宋_GB2312"/>
          <w:sz w:val="32"/>
          <w:szCs w:val="32"/>
        </w:rPr>
        <w:t>个，金额为</w:t>
      </w:r>
      <w:r>
        <w:rPr>
          <w:rFonts w:ascii="仿宋_GB2312" w:eastAsia="仿宋_GB2312"/>
          <w:sz w:val="32"/>
          <w:szCs w:val="32"/>
        </w:rPr>
        <w:t>730.13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5"/>
        <w:rPr>
          <w:rFonts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2021年根据区财政局的要求，我局委托事务所对</w:t>
      </w:r>
      <w:r>
        <w:rPr>
          <w:rFonts w:hint="eastAsia" w:ascii="仿宋" w:eastAsia="仿宋" w:cs="仿宋"/>
          <w:color w:val="000000"/>
          <w:sz w:val="32"/>
          <w:szCs w:val="32"/>
        </w:rPr>
        <w:t>2021年部门支出整体绩效和项目成本预算绩效分析，评定级别为“优秀”。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</w:rPr>
        <w:t>2022年北京市西城区园林绿化局无国有资本经营预算拨款收支。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截止</w:t>
      </w:r>
      <w:r>
        <w:rPr>
          <w:rFonts w:hint="eastAsia" w:ascii="仿宋" w:eastAsia="仿宋"/>
          <w:color w:val="000000"/>
          <w:sz w:val="32"/>
          <w:szCs w:val="32"/>
        </w:rPr>
        <w:t>2021年</w:t>
      </w:r>
      <w:r>
        <w:rPr>
          <w:rFonts w:ascii="仿宋" w:eastAsia="仿宋"/>
          <w:color w:val="000000"/>
          <w:sz w:val="32"/>
          <w:szCs w:val="32"/>
        </w:rPr>
        <w:t>底，</w:t>
      </w:r>
      <w:r>
        <w:rPr>
          <w:rFonts w:hint="eastAsia" w:ascii="仿宋" w:eastAsia="仿宋"/>
          <w:color w:val="000000"/>
          <w:sz w:val="32"/>
          <w:szCs w:val="32"/>
        </w:rPr>
        <w:t>本部门</w:t>
      </w:r>
      <w:r>
        <w:rPr>
          <w:rFonts w:asci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eastAsia="仿宋"/>
          <w:color w:val="000000"/>
          <w:sz w:val="32"/>
          <w:szCs w:val="32"/>
        </w:rPr>
        <w:t>239.39万元</w:t>
      </w:r>
      <w:r>
        <w:rPr>
          <w:rFonts w:ascii="仿宋" w:eastAsia="仿宋"/>
          <w:color w:val="000000"/>
          <w:sz w:val="32"/>
          <w:szCs w:val="32"/>
        </w:rPr>
        <w:t>，其中：</w:t>
      </w:r>
      <w:r>
        <w:rPr>
          <w:rFonts w:hint="eastAsia" w:ascii="仿宋" w:eastAsia="仿宋"/>
          <w:color w:val="000000"/>
          <w:sz w:val="32"/>
          <w:szCs w:val="32"/>
        </w:rPr>
        <w:t>车辆0台</w:t>
      </w:r>
      <w:r>
        <w:rPr>
          <w:rFonts w:ascii="仿宋" w:eastAsia="仿宋"/>
          <w:color w:val="000000"/>
          <w:sz w:val="32"/>
          <w:szCs w:val="32"/>
        </w:rPr>
        <w:t>，</w:t>
      </w:r>
      <w:r>
        <w:rPr>
          <w:rFonts w:hint="eastAsia" w:ascii="仿宋" w:eastAsia="仿宋"/>
          <w:color w:val="000000"/>
          <w:sz w:val="32"/>
          <w:szCs w:val="32"/>
        </w:rPr>
        <w:t>0万元；单位</w:t>
      </w:r>
      <w:r>
        <w:rPr>
          <w:rFonts w:ascii="仿宋" w:eastAsia="仿宋"/>
          <w:color w:val="000000"/>
          <w:sz w:val="32"/>
          <w:szCs w:val="32"/>
        </w:rPr>
        <w:t>价值</w:t>
      </w:r>
      <w:r>
        <w:rPr>
          <w:rFonts w:hint="eastAsia" w:ascii="仿宋" w:eastAsia="仿宋"/>
          <w:color w:val="000000"/>
          <w:sz w:val="32"/>
          <w:szCs w:val="32"/>
        </w:rPr>
        <w:t>50万元以上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hint="eastAsia" w:ascii="仿宋" w:eastAsia="仿宋"/>
          <w:color w:val="000000"/>
          <w:sz w:val="32"/>
          <w:szCs w:val="32"/>
        </w:rPr>
        <w:t>通用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hint="eastAsia" w:ascii="仿宋" w:eastAsia="仿宋"/>
          <w:color w:val="000000"/>
          <w:sz w:val="32"/>
          <w:szCs w:val="32"/>
        </w:rPr>
        <w:t>0台（套）、0万元，单位</w:t>
      </w:r>
      <w:r>
        <w:rPr>
          <w:rFonts w:ascii="仿宋" w:eastAsia="仿宋"/>
          <w:color w:val="000000"/>
          <w:sz w:val="32"/>
          <w:szCs w:val="32"/>
        </w:rPr>
        <w:t>价值100</w:t>
      </w:r>
      <w:r>
        <w:rPr>
          <w:rFonts w:hint="eastAsia" w:ascii="仿宋" w:eastAsia="仿宋"/>
          <w:color w:val="000000"/>
          <w:sz w:val="32"/>
          <w:szCs w:val="32"/>
        </w:rPr>
        <w:t>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hint="eastAsia" w:ascii="仿宋" w:eastAsia="仿宋"/>
          <w:color w:val="000000"/>
          <w:sz w:val="32"/>
          <w:szCs w:val="32"/>
        </w:rPr>
        <w:t>专用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hint="eastAsia" w:ascii="仿宋" w:eastAsia="仿宋"/>
          <w:color w:val="000000"/>
          <w:sz w:val="32"/>
          <w:szCs w:val="32"/>
        </w:rPr>
        <w:t>0台（套）、0万元。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2022部门预算：安排购置车辆0台</w:t>
      </w:r>
      <w:r>
        <w:rPr>
          <w:rFonts w:ascii="仿宋" w:eastAsia="仿宋"/>
          <w:color w:val="000000"/>
          <w:sz w:val="32"/>
          <w:szCs w:val="32"/>
        </w:rPr>
        <w:t>，</w:t>
      </w:r>
      <w:r>
        <w:rPr>
          <w:rFonts w:hint="eastAsia" w:ascii="仿宋" w:eastAsia="仿宋"/>
          <w:color w:val="000000"/>
          <w:sz w:val="32"/>
          <w:szCs w:val="32"/>
        </w:rPr>
        <w:t>0万元；安排购置单位</w:t>
      </w:r>
      <w:r>
        <w:rPr>
          <w:rFonts w:ascii="仿宋" w:eastAsia="仿宋"/>
          <w:color w:val="000000"/>
          <w:sz w:val="32"/>
          <w:szCs w:val="32"/>
        </w:rPr>
        <w:t>价值</w:t>
      </w:r>
      <w:r>
        <w:rPr>
          <w:rFonts w:hint="eastAsia" w:ascii="仿宋" w:eastAsia="仿宋"/>
          <w:color w:val="000000"/>
          <w:sz w:val="32"/>
          <w:szCs w:val="32"/>
        </w:rPr>
        <w:t>50万元以上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hint="eastAsia" w:ascii="仿宋" w:eastAsia="仿宋"/>
          <w:color w:val="000000"/>
          <w:sz w:val="32"/>
          <w:szCs w:val="32"/>
        </w:rPr>
        <w:t>通用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hint="eastAsia" w:ascii="仿宋" w:eastAsia="仿宋"/>
          <w:color w:val="000000"/>
          <w:sz w:val="32"/>
          <w:szCs w:val="32"/>
        </w:rPr>
        <w:t>0台（套）、0万元，安排购置单位</w:t>
      </w:r>
      <w:r>
        <w:rPr>
          <w:rFonts w:ascii="仿宋" w:eastAsia="仿宋"/>
          <w:color w:val="000000"/>
          <w:sz w:val="32"/>
          <w:szCs w:val="32"/>
        </w:rPr>
        <w:t>价值100</w:t>
      </w:r>
      <w:r>
        <w:rPr>
          <w:rFonts w:hint="eastAsia" w:ascii="仿宋" w:eastAsia="仿宋"/>
          <w:color w:val="000000"/>
          <w:sz w:val="32"/>
          <w:szCs w:val="32"/>
        </w:rPr>
        <w:t>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hint="eastAsia" w:ascii="仿宋" w:eastAsia="仿宋"/>
          <w:color w:val="000000"/>
          <w:sz w:val="32"/>
          <w:szCs w:val="32"/>
        </w:rPr>
        <w:t>专用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hint="eastAsia" w:ascii="仿宋" w:eastAsia="仿宋"/>
          <w:color w:val="000000"/>
          <w:sz w:val="32"/>
          <w:szCs w:val="32"/>
        </w:rPr>
        <w:t>0台（套）、0万元。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360" w:lineRule="auto"/>
        <w:ind w:firstLine="648"/>
        <w:rPr>
          <w:rFonts w:ascii="仿宋" w:eastAsia="仿宋"/>
        </w:rPr>
      </w:pPr>
      <w:r>
        <w:rPr>
          <w:rFonts w:hint="eastAsia" w:asci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="210" w:firstLineChars="100"/>
      </w:pPr>
    </w:p>
    <w:p>
      <w:pPr>
        <w:spacing w:line="560" w:lineRule="exact"/>
        <w:ind w:firstLine="210" w:firstLineChars="100"/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spacing w:line="560" w:lineRule="exact"/>
        <w:ind w:firstLine="320" w:firstLineChars="100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详见附表文件。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sectPr>
      <w:pgSz w:w="11907" w:h="16840"/>
      <w:pgMar w:top="1077" w:right="1304" w:bottom="85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82"/>
    <w:rsid w:val="00052882"/>
    <w:rsid w:val="000C0236"/>
    <w:rsid w:val="00187BA8"/>
    <w:rsid w:val="00202C24"/>
    <w:rsid w:val="002B7D2E"/>
    <w:rsid w:val="003809DE"/>
    <w:rsid w:val="00386D90"/>
    <w:rsid w:val="00417621"/>
    <w:rsid w:val="00471986"/>
    <w:rsid w:val="00561751"/>
    <w:rsid w:val="005D058C"/>
    <w:rsid w:val="00625C9E"/>
    <w:rsid w:val="006B2563"/>
    <w:rsid w:val="006C05EC"/>
    <w:rsid w:val="006C1ABA"/>
    <w:rsid w:val="006E0AD9"/>
    <w:rsid w:val="00767231"/>
    <w:rsid w:val="007B0B92"/>
    <w:rsid w:val="00841341"/>
    <w:rsid w:val="00906283"/>
    <w:rsid w:val="00910C04"/>
    <w:rsid w:val="009D6770"/>
    <w:rsid w:val="00A87A39"/>
    <w:rsid w:val="00B4735B"/>
    <w:rsid w:val="00B95CF9"/>
    <w:rsid w:val="00CA7661"/>
    <w:rsid w:val="00CC5B31"/>
    <w:rsid w:val="00D45363"/>
    <w:rsid w:val="00D6468B"/>
    <w:rsid w:val="00D7546E"/>
    <w:rsid w:val="00EB721B"/>
    <w:rsid w:val="00FF0471"/>
    <w:rsid w:val="660A7537"/>
    <w:rsid w:val="6EB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line="312" w:lineRule="auto"/>
      <w:jc w:val="center"/>
      <w:outlineLvl w:val="1"/>
    </w:pPr>
    <w:rPr>
      <w:rFonts w:ascii="Cambria" w:hAnsi="Cambria" w:cs="Times New Roman"/>
      <w:b/>
      <w:bCs/>
      <w:sz w:val="36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517</Words>
  <Characters>2952</Characters>
  <Lines>24</Lines>
  <Paragraphs>6</Paragraphs>
  <TotalTime>1</TotalTime>
  <ScaleCrop>false</ScaleCrop>
  <LinksUpToDate>false</LinksUpToDate>
  <CharactersWithSpaces>3463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2022-01-09T10:06:00Z</dcterms:created>
  <dc:creator>lenovo</dc:creator>
  <cp:lastModifiedBy>石卉然</cp:lastModifiedBy>
  <dcterms:modified xsi:type="dcterms:W3CDTF">2022-11-09T07:03:40Z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