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325" w:firstLineChars="300"/>
        <w:rPr>
          <w:rFonts w:ascii="宋体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宋体"/>
          <w:b/>
          <w:color w:val="000000"/>
          <w:sz w:val="44"/>
          <w:szCs w:val="44"/>
        </w:rPr>
        <w:t>西城区园林绿化局2022年</w:t>
      </w:r>
      <w:r>
        <w:rPr>
          <w:rFonts w:ascii="宋体"/>
          <w:b/>
          <w:color w:val="000000"/>
          <w:sz w:val="44"/>
          <w:szCs w:val="44"/>
        </w:rPr>
        <w:t>部门预算</w:t>
      </w:r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/>
          <w:b/>
          <w:sz w:val="44"/>
          <w:szCs w:val="44"/>
        </w:rPr>
        <w:t>（汇总）</w:t>
      </w:r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/>
          <w:b/>
          <w:sz w:val="44"/>
          <w:szCs w:val="44"/>
        </w:rPr>
        <w:t>公开目录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第一部分</w:t>
      </w:r>
      <w:r>
        <w:rPr>
          <w:rFonts w:ascii="黑体" w:eastAsia="黑体"/>
          <w:color w:val="000000"/>
          <w:sz w:val="32"/>
          <w:szCs w:val="32"/>
        </w:rPr>
        <w:t>、</w:t>
      </w:r>
      <w:r>
        <w:rPr>
          <w:rFonts w:hint="eastAsia" w:ascii="黑体" w:eastAsia="黑体"/>
          <w:color w:val="000000"/>
          <w:sz w:val="32"/>
          <w:szCs w:val="32"/>
        </w:rPr>
        <w:t>2022年</w:t>
      </w:r>
      <w:r>
        <w:rPr>
          <w:rFonts w:ascii="黑体" w:eastAsia="黑体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一</w:t>
      </w:r>
      <w:r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部门主要职责及机构设置</w:t>
      </w:r>
      <w:r>
        <w:rPr>
          <w:rFonts w:ascii="仿宋_GB2312" w:eastAsia="仿宋_GB2312"/>
          <w:b/>
          <w:color w:val="000000"/>
          <w:sz w:val="32"/>
          <w:szCs w:val="32"/>
        </w:rPr>
        <w:t>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3" w:firstLineChars="25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二</w:t>
      </w:r>
      <w:r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2022年部门预算收支及增减变化情况说明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（一）收入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（二）支出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三、主要支出情况</w:t>
      </w:r>
    </w:p>
    <w:p>
      <w:pPr>
        <w:spacing w:line="560" w:lineRule="exact"/>
        <w:ind w:firstLine="803" w:firstLineChars="25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四、</w:t>
      </w:r>
      <w:r>
        <w:rPr>
          <w:rFonts w:ascii="仿宋_GB2312" w:eastAsia="仿宋_GB2312"/>
          <w:b/>
          <w:color w:val="000000"/>
          <w:sz w:val="32"/>
          <w:szCs w:val="32"/>
        </w:rPr>
        <w:t>部门“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三公</w:t>
      </w:r>
      <w:r>
        <w:rPr>
          <w:rFonts w:ascii="仿宋_GB2312" w:eastAsia="仿宋_GB2312"/>
          <w:b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经费</w:t>
      </w:r>
      <w:r>
        <w:rPr>
          <w:rFonts w:ascii="仿宋_GB2312" w:eastAsia="仿宋_GB2312"/>
          <w:b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五</w:t>
      </w:r>
      <w:r>
        <w:rPr>
          <w:rFonts w:ascii="仿宋_GB2312" w:eastAsia="仿宋_GB2312"/>
          <w:b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（一）机关运行经费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（四）绩效目标情况及绩效评价结果说明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hint="eastAsia" w:ascii="仿宋_GB2312" w:eastAsia="仿宋_GB2312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964" w:firstLineChars="3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六</w:t>
      </w:r>
      <w:r>
        <w:rPr>
          <w:rFonts w:ascii="仿宋_GB2312" w:eastAsia="仿宋_GB2312"/>
          <w:b/>
          <w:color w:val="000000"/>
          <w:sz w:val="32"/>
          <w:szCs w:val="32"/>
        </w:rPr>
        <w:t>、名称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解释</w:t>
      </w:r>
    </w:p>
    <w:p>
      <w:pPr>
        <w:spacing w:line="56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第二部分</w:t>
      </w:r>
      <w:r>
        <w:rPr>
          <w:rFonts w:ascii="黑体" w:eastAsia="黑体"/>
          <w:color w:val="000000"/>
          <w:sz w:val="32"/>
          <w:szCs w:val="32"/>
        </w:rPr>
        <w:t>、</w:t>
      </w:r>
      <w:r>
        <w:rPr>
          <w:rFonts w:hint="eastAsia" w:ascii="黑体" w:eastAsia="黑体"/>
          <w:color w:val="000000"/>
          <w:sz w:val="32"/>
          <w:szCs w:val="32"/>
        </w:rPr>
        <w:t>2022年</w:t>
      </w:r>
      <w:r>
        <w:rPr>
          <w:rFonts w:ascii="黑体" w:eastAsia="黑体"/>
          <w:color w:val="000000"/>
          <w:sz w:val="32"/>
          <w:szCs w:val="32"/>
        </w:rPr>
        <w:t>部门</w:t>
      </w:r>
      <w:r>
        <w:rPr>
          <w:rFonts w:hint="eastAsia" w:ascii="黑体" w:eastAsia="黑体"/>
          <w:color w:val="000000"/>
          <w:sz w:val="32"/>
          <w:szCs w:val="32"/>
        </w:rPr>
        <w:t>预</w:t>
      </w:r>
      <w:r>
        <w:rPr>
          <w:rFonts w:ascii="黑体" w:eastAsia="黑体"/>
          <w:color w:val="000000"/>
          <w:sz w:val="32"/>
          <w:szCs w:val="32"/>
        </w:rPr>
        <w:t>算</w:t>
      </w:r>
      <w:r>
        <w:rPr>
          <w:rFonts w:hint="eastAsia" w:ascii="黑体" w:eastAsia="黑体"/>
          <w:color w:val="000000"/>
          <w:sz w:val="32"/>
          <w:szCs w:val="32"/>
        </w:rPr>
        <w:t>表</w:t>
      </w:r>
    </w:p>
    <w:p>
      <w:pPr>
        <w:spacing w:line="560" w:lineRule="exact"/>
        <w:ind w:firstLine="320" w:firstLineChars="100"/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详见附表文件。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表五、财政拨款收支总体情况表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表六、一般公共预算支出情况表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表七、一般公共预算基本支出情况表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表八、政府性基金预算支出情况表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表九、国有资本经营预算财政拨款支出表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表十一、政府购买服务预算表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表十二、上级转移支付细化明细表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表十四、部门整体支出绩效目标申报表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楷体" w:eastAsia="楷体"/>
          <w:b/>
          <w:color w:val="000000"/>
          <w:sz w:val="36"/>
          <w:szCs w:val="36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楷体" w:eastAsia="楷体"/>
          <w:b/>
          <w:color w:val="000000"/>
          <w:sz w:val="36"/>
          <w:szCs w:val="36"/>
        </w:rPr>
        <w:t>第一部分</w:t>
      </w:r>
      <w:r>
        <w:rPr>
          <w:rFonts w:ascii="楷体" w:eastAsia="楷体"/>
          <w:b/>
          <w:color w:val="000000"/>
          <w:sz w:val="36"/>
          <w:szCs w:val="36"/>
        </w:rPr>
        <w:t>、</w:t>
      </w:r>
      <w:r>
        <w:rPr>
          <w:rFonts w:hint="eastAsia" w:ascii="楷体" w:eastAsia="楷体"/>
          <w:b/>
          <w:color w:val="000000"/>
          <w:sz w:val="36"/>
          <w:szCs w:val="36"/>
        </w:rPr>
        <w:t>2021年</w:t>
      </w:r>
      <w:r>
        <w:rPr>
          <w:rFonts w:ascii="楷体" w:eastAsia="楷体"/>
          <w:b/>
          <w:color w:val="000000"/>
          <w:sz w:val="36"/>
          <w:szCs w:val="36"/>
        </w:rPr>
        <w:t>部门预算情况说明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部门主要职责及机构设置情况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>
      <w:pPr>
        <w:spacing w:line="360" w:lineRule="auto"/>
        <w:ind w:firstLine="713" w:firstLineChars="223"/>
        <w:rPr>
          <w:rFonts w:ascii="楷体" w:hAnsi="楷体" w:eastAsia="仿宋"/>
          <w:sz w:val="32"/>
          <w:szCs w:val="32"/>
        </w:rPr>
      </w:pPr>
      <w:r>
        <w:rPr>
          <w:rFonts w:ascii="楷体" w:hAnsi="楷体" w:eastAsia="仿宋"/>
          <w:sz w:val="32"/>
          <w:szCs w:val="32"/>
        </w:rPr>
        <w:t>本部门包括本级预算单位</w:t>
      </w:r>
      <w:r>
        <w:rPr>
          <w:rFonts w:hint="eastAsia" w:ascii="楷体" w:hAnsi="楷体" w:eastAsia="仿宋"/>
          <w:sz w:val="32"/>
          <w:szCs w:val="32"/>
        </w:rPr>
        <w:t>区园林绿化局（区绿化办）</w:t>
      </w:r>
      <w:r>
        <w:rPr>
          <w:rFonts w:ascii="楷体" w:hAnsi="楷体" w:eastAsia="仿宋"/>
          <w:sz w:val="32"/>
          <w:szCs w:val="32"/>
        </w:rPr>
        <w:t>，和下属二级预算单位五个，分别是区公园管理中心、人定湖公园管理处、月坛公园管理处、宣武艺园管理处和万寿公园管理处。</w:t>
      </w:r>
    </w:p>
    <w:p>
      <w:pPr>
        <w:spacing w:line="360" w:lineRule="auto"/>
        <w:ind w:firstLine="713" w:firstLineChars="223"/>
        <w:rPr>
          <w:rFonts w:ascii="楷体" w:hAnsi="楷体" w:eastAsia="仿宋"/>
          <w:sz w:val="32"/>
          <w:szCs w:val="32"/>
        </w:rPr>
      </w:pPr>
      <w:r>
        <w:rPr>
          <w:rFonts w:ascii="楷体" w:hAnsi="楷体" w:eastAsia="仿宋"/>
          <w:sz w:val="32"/>
          <w:szCs w:val="32"/>
        </w:rPr>
        <w:t>区园林绿化局（区绿化办）</w:t>
      </w:r>
      <w:r>
        <w:rPr>
          <w:rFonts w:hint="eastAsia" w:ascii="楷体" w:hAnsi="楷体" w:eastAsia="仿宋"/>
          <w:sz w:val="32"/>
          <w:szCs w:val="32"/>
        </w:rPr>
        <w:t>是负责本区园林绿化工作的区政府工作部门，内设6个科室。</w:t>
      </w:r>
      <w:r>
        <w:rPr>
          <w:rFonts w:ascii="楷体" w:hAnsi="楷体" w:eastAsia="仿宋"/>
          <w:sz w:val="32"/>
          <w:szCs w:val="32"/>
        </w:rPr>
        <w:t>区公园管理中心是负责区属四个公园的管理部门，内设7个科室。四个公园管理处分别负责公园的建设和管理。</w:t>
      </w:r>
    </w:p>
    <w:p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西城区园林绿化局行政编制25人；实有行政人员30人；退休人员52人。</w:t>
      </w:r>
    </w:p>
    <w:p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西城区公园管理中心事业编制57人；实际57人；退休人员4人。</w:t>
      </w:r>
    </w:p>
    <w:p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月坛公园管理处事业编制19人；实际17人；长期聘用临时工24人</w:t>
      </w:r>
      <w:r>
        <w:rPr>
          <w:rFonts w:ascii="仿宋_GB2312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</w:rPr>
        <w:t>退休33人。</w:t>
      </w:r>
    </w:p>
    <w:p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人定湖公园管理处事业编制18人；实际18人，长期聘用临时工34人。退休26人。</w:t>
      </w:r>
    </w:p>
    <w:p>
      <w:pPr>
        <w:spacing w:line="360" w:lineRule="auto"/>
        <w:ind w:firstLine="555"/>
        <w:rPr>
          <w:rFonts w:ascii="楷体" w:hAnsi="楷体" w:eastAsia="仿宋" w:cs="宋体"/>
          <w:sz w:val="32"/>
          <w:szCs w:val="32"/>
        </w:rPr>
      </w:pPr>
      <w:r>
        <w:rPr>
          <w:rFonts w:hint="eastAsia" w:ascii="楷体" w:hAnsi="楷体" w:eastAsia="仿宋" w:cs="宋体"/>
          <w:sz w:val="32"/>
          <w:szCs w:val="32"/>
        </w:rPr>
        <w:t>宣武艺园管理处事业编制</w:t>
      </w:r>
      <w:r>
        <w:rPr>
          <w:rFonts w:hint="eastAsia" w:ascii="仿宋_GB2312" w:eastAsia="仿宋_GB2312"/>
          <w:sz w:val="32"/>
          <w:szCs w:val="32"/>
        </w:rPr>
        <w:t>44人；实际32人；退休71</w:t>
      </w:r>
      <w:r>
        <w:rPr>
          <w:rFonts w:hint="eastAsia" w:ascii="楷体" w:hAnsi="楷体" w:eastAsia="仿宋" w:cs="宋体"/>
          <w:sz w:val="32"/>
          <w:szCs w:val="32"/>
        </w:rPr>
        <w:t>人。</w:t>
      </w:r>
    </w:p>
    <w:p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万寿公园管理处</w:t>
      </w:r>
      <w:r>
        <w:rPr>
          <w:rFonts w:hint="eastAsia" w:ascii="仿宋_GB2312" w:eastAsia="仿宋_GB2312"/>
          <w:sz w:val="32"/>
          <w:szCs w:val="32"/>
        </w:rPr>
        <w:t>事业编制29人；实际20人；退休24人。</w:t>
      </w:r>
    </w:p>
    <w:p>
      <w:pPr>
        <w:spacing w:line="360" w:lineRule="auto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2021年部门预算收支及增减变化情况说明</w:t>
      </w:r>
    </w:p>
    <w:p>
      <w:pPr>
        <w:spacing w:line="360" w:lineRule="auto"/>
        <w:ind w:firstLine="555"/>
        <w:outlineLvl w:val="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(一)收入预算说明</w:t>
      </w:r>
    </w:p>
    <w:p>
      <w:pPr>
        <w:spacing w:line="360" w:lineRule="auto"/>
        <w:ind w:firstLine="555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2022年西城区园林绿化局部门预算收入</w:t>
      </w:r>
      <w:r>
        <w:rPr>
          <w:rFonts w:ascii="仿宋" w:eastAsia="仿宋"/>
          <w:sz w:val="32"/>
          <w:szCs w:val="32"/>
        </w:rPr>
        <w:t>11421.17</w:t>
      </w:r>
      <w:r>
        <w:rPr>
          <w:rFonts w:hint="eastAsia" w:ascii="仿宋" w:eastAsia="仿宋"/>
          <w:sz w:val="32"/>
          <w:szCs w:val="32"/>
        </w:rPr>
        <w:t>万元，比2021年预算收入</w:t>
      </w:r>
      <w:r>
        <w:rPr>
          <w:rFonts w:ascii="仿宋" w:eastAsia="仿宋"/>
          <w:sz w:val="32"/>
          <w:szCs w:val="32"/>
        </w:rPr>
        <w:t>9126.81</w:t>
      </w:r>
      <w:r>
        <w:rPr>
          <w:rFonts w:hint="eastAsia" w:ascii="仿宋" w:eastAsia="仿宋"/>
          <w:sz w:val="32"/>
          <w:szCs w:val="32"/>
        </w:rPr>
        <w:t>万元增加2294.36万元，</w:t>
      </w:r>
      <w:r>
        <w:rPr>
          <w:rFonts w:hint="eastAsia" w:ascii="仿宋" w:eastAsia="仿宋"/>
          <w:kern w:val="0"/>
          <w:sz w:val="32"/>
          <w:szCs w:val="32"/>
        </w:rPr>
        <w:t>增加25.14%</w:t>
      </w:r>
      <w:r>
        <w:rPr>
          <w:rFonts w:hint="eastAsia" w:ascii="仿宋" w:eastAsia="仿宋"/>
          <w:sz w:val="32"/>
          <w:szCs w:val="32"/>
        </w:rPr>
        <w:t>。其中：财政拨款</w:t>
      </w:r>
      <w:r>
        <w:rPr>
          <w:rFonts w:ascii="仿宋_GB2312" w:hAnsi="Batang" w:eastAsia="仿宋_GB2312" w:cs="Times New Roman"/>
          <w:sz w:val="32"/>
          <w:szCs w:val="32"/>
        </w:rPr>
        <w:t>11421.17</w:t>
      </w:r>
      <w:r>
        <w:rPr>
          <w:rFonts w:hint="eastAsia" w:ascii="仿宋" w:eastAsia="仿宋"/>
          <w:sz w:val="32"/>
          <w:szCs w:val="32"/>
        </w:rPr>
        <w:t>万元</w:t>
      </w:r>
      <w:r>
        <w:rPr>
          <w:rFonts w:hint="eastAsia" w:ascii="仿宋" w:eastAsia="仿宋"/>
          <w:kern w:val="0"/>
          <w:sz w:val="32"/>
          <w:szCs w:val="32"/>
        </w:rPr>
        <w:t>,</w:t>
      </w:r>
      <w:r>
        <w:rPr>
          <w:rFonts w:hint="eastAsia" w:ascii="仿宋" w:eastAsia="仿宋"/>
          <w:color w:val="000000"/>
          <w:kern w:val="0"/>
          <w:sz w:val="32"/>
          <w:szCs w:val="32"/>
        </w:rPr>
        <w:t>主要是</w:t>
      </w:r>
      <w:r>
        <w:rPr>
          <w:rFonts w:hint="eastAsia" w:ascii="仿宋" w:eastAsia="仿宋"/>
          <w:color w:val="000000"/>
          <w:sz w:val="32"/>
          <w:szCs w:val="32"/>
        </w:rPr>
        <w:t>工作需要部分项目有所调整</w:t>
      </w:r>
      <w:r>
        <w:rPr>
          <w:rFonts w:hint="eastAsia" w:ascii="仿宋" w:eastAsia="仿宋"/>
          <w:color w:val="000000"/>
          <w:kern w:val="0"/>
          <w:sz w:val="32"/>
          <w:szCs w:val="32"/>
        </w:rPr>
        <w:t>所致</w:t>
      </w:r>
      <w:r>
        <w:rPr>
          <w:rFonts w:hint="eastAsia" w:ascii="仿宋" w:eastAsia="仿宋"/>
          <w:sz w:val="32"/>
          <w:szCs w:val="32"/>
        </w:rPr>
        <w:t>。</w:t>
      </w:r>
    </w:p>
    <w:p>
      <w:pPr>
        <w:spacing w:line="360" w:lineRule="auto"/>
        <w:ind w:firstLine="555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市级转移支付资金</w:t>
      </w:r>
      <w:r>
        <w:rPr>
          <w:rFonts w:ascii="仿宋" w:eastAsia="仿宋"/>
          <w:sz w:val="32"/>
          <w:szCs w:val="32"/>
        </w:rPr>
        <w:t>2</w:t>
      </w:r>
      <w:r>
        <w:rPr>
          <w:rFonts w:hint="eastAsia" w:ascii="仿宋" w:eastAsia="仿宋"/>
          <w:sz w:val="32"/>
          <w:szCs w:val="32"/>
        </w:rPr>
        <w:t>200万元，主要用于西城区古树名木的管理工作</w:t>
      </w:r>
      <w:r>
        <w:rPr>
          <w:rFonts w:ascii="仿宋" w:eastAsia="仿宋"/>
          <w:sz w:val="32"/>
          <w:szCs w:val="32"/>
        </w:rPr>
        <w:t>和两个全龄友好公园的改造建设</w:t>
      </w:r>
      <w:r>
        <w:rPr>
          <w:rFonts w:hint="eastAsia" w:ascii="仿宋" w:eastAsia="仿宋"/>
          <w:sz w:val="32"/>
          <w:szCs w:val="32"/>
        </w:rPr>
        <w:t>。</w:t>
      </w:r>
    </w:p>
    <w:p>
      <w:pPr>
        <w:spacing w:line="360" w:lineRule="auto"/>
        <w:ind w:firstLine="555"/>
        <w:outlineLvl w:val="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(二)支出预算说明</w:t>
      </w:r>
    </w:p>
    <w:p>
      <w:pPr>
        <w:spacing w:line="360" w:lineRule="auto"/>
        <w:ind w:firstLine="555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2022年支出预算按用途划分：（1）基本支出预算6569.60万元，比2021年</w:t>
      </w:r>
      <w:r>
        <w:rPr>
          <w:rFonts w:ascii="仿宋" w:eastAsia="仿宋"/>
          <w:sz w:val="32"/>
          <w:szCs w:val="32"/>
        </w:rPr>
        <w:t>6634.34</w:t>
      </w:r>
      <w:r>
        <w:rPr>
          <w:rFonts w:hint="eastAsia" w:ascii="仿宋" w:eastAsia="仿宋"/>
          <w:sz w:val="32"/>
          <w:szCs w:val="32"/>
        </w:rPr>
        <w:t>万元减少64.74万元，减少0.98%。其中：2022年公用支出590.46万元</w:t>
      </w:r>
      <w:r>
        <w:rPr>
          <w:rFonts w:hint="eastAsia" w:ascii="仿宋" w:eastAsia="仿宋"/>
          <w:color w:val="000000"/>
          <w:sz w:val="32"/>
          <w:szCs w:val="32"/>
        </w:rPr>
        <w:t>，比</w:t>
      </w:r>
      <w:r>
        <w:rPr>
          <w:rFonts w:hint="eastAsia" w:ascii="仿宋" w:eastAsia="仿宋"/>
          <w:sz w:val="32"/>
          <w:szCs w:val="32"/>
        </w:rPr>
        <w:t>2021年</w:t>
      </w:r>
      <w:r>
        <w:rPr>
          <w:rFonts w:ascii="仿宋" w:eastAsia="仿宋"/>
          <w:sz w:val="32"/>
          <w:szCs w:val="32"/>
        </w:rPr>
        <w:t>548.83</w:t>
      </w:r>
      <w:r>
        <w:rPr>
          <w:rFonts w:hint="eastAsia" w:ascii="仿宋" w:eastAsia="仿宋" w:cs="宋体"/>
          <w:color w:val="000000"/>
          <w:kern w:val="0"/>
          <w:sz w:val="32"/>
          <w:szCs w:val="32"/>
        </w:rPr>
        <w:t>万</w:t>
      </w:r>
      <w:r>
        <w:rPr>
          <w:rFonts w:hint="eastAsia" w:ascii="仿宋" w:eastAsia="仿宋"/>
          <w:sz w:val="32"/>
          <w:szCs w:val="32"/>
        </w:rPr>
        <w:t>元，增加41.63万元，增加7.59%，</w:t>
      </w:r>
      <w:r>
        <w:rPr>
          <w:rFonts w:hint="eastAsia" w:ascii="仿宋" w:eastAsia="仿宋"/>
          <w:color w:val="000000"/>
          <w:sz w:val="32"/>
          <w:szCs w:val="32"/>
        </w:rPr>
        <w:t>主要原因是伙食费标准提高所致</w:t>
      </w:r>
      <w:r>
        <w:rPr>
          <w:rFonts w:hint="eastAsia" w:ascii="仿宋" w:eastAsia="仿宋"/>
          <w:sz w:val="32"/>
          <w:szCs w:val="32"/>
        </w:rPr>
        <w:t>。</w:t>
      </w:r>
      <w:r>
        <w:rPr>
          <w:rFonts w:hint="eastAsia" w:ascii="楷体" w:hAnsi="楷体" w:eastAsia="仿宋"/>
          <w:sz w:val="32"/>
          <w:szCs w:val="32"/>
        </w:rPr>
        <w:t>（2）项目支出预算</w:t>
      </w:r>
      <w:r>
        <w:rPr>
          <w:rFonts w:hint="eastAsia" w:ascii="仿宋" w:eastAsia="仿宋"/>
          <w:sz w:val="32"/>
          <w:szCs w:val="32"/>
        </w:rPr>
        <w:t>4851.57万元，比2021年</w:t>
      </w:r>
      <w:r>
        <w:rPr>
          <w:rFonts w:ascii="仿宋" w:eastAsia="仿宋"/>
          <w:sz w:val="32"/>
          <w:szCs w:val="32"/>
        </w:rPr>
        <w:t>2492.48</w:t>
      </w:r>
      <w:r>
        <w:rPr>
          <w:rFonts w:hint="eastAsia" w:ascii="仿宋" w:eastAsia="仿宋"/>
          <w:sz w:val="32"/>
          <w:szCs w:val="32"/>
        </w:rPr>
        <w:t>万元，增加2359.09万元，增加94.65%，主要是工作任务调整,项目内容有所增加。2022年</w:t>
      </w:r>
      <w:r>
        <w:rPr>
          <w:rFonts w:hint="eastAsia" w:ascii="楷体" w:hAnsi="楷体" w:eastAsia="仿宋"/>
          <w:sz w:val="32"/>
          <w:szCs w:val="32"/>
        </w:rPr>
        <w:t>主要项目是</w:t>
      </w:r>
      <w:r>
        <w:rPr>
          <w:rFonts w:hint="eastAsia" w:ascii="仿宋" w:eastAsia="仿宋"/>
          <w:sz w:val="32"/>
          <w:szCs w:val="32"/>
        </w:rPr>
        <w:t>治理杨柳飞絮专项经费、危险性林木有害生物防控、公园安全保障项目、公园作业经费、节日景观布置等。</w:t>
      </w:r>
    </w:p>
    <w:p>
      <w:pPr>
        <w:spacing w:line="360" w:lineRule="auto"/>
        <w:ind w:firstLine="555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市级转移支付资金2200万元，主要用于西城区全龄公园建设及古树名木的管理工作。</w:t>
      </w:r>
    </w:p>
    <w:p>
      <w:pPr>
        <w:spacing w:line="360" w:lineRule="auto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>
      <w:pPr>
        <w:snapToGrid w:val="0"/>
        <w:spacing w:line="360" w:lineRule="auto"/>
        <w:ind w:firstLine="640" w:firstLineChars="200"/>
        <w:rPr>
          <w:rFonts w:ascii="仿宋" w:eastAsia="仿宋"/>
          <w:kern w:val="0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我部门2022年主要指出为城乡社区支出，涉及资金</w:t>
      </w:r>
      <w:r>
        <w:rPr>
          <w:rFonts w:ascii="仿宋" w:eastAsia="仿宋"/>
          <w:sz w:val="32"/>
          <w:szCs w:val="32"/>
        </w:rPr>
        <w:t>68028218</w:t>
      </w:r>
      <w:r>
        <w:rPr>
          <w:rFonts w:hint="eastAsia" w:ascii="仿宋" w:eastAsia="仿宋"/>
          <w:sz w:val="32"/>
          <w:szCs w:val="32"/>
        </w:rPr>
        <w:t>.</w:t>
      </w:r>
      <w:r>
        <w:rPr>
          <w:rFonts w:ascii="仿宋" w:eastAsia="仿宋"/>
          <w:sz w:val="32"/>
          <w:szCs w:val="32"/>
        </w:rPr>
        <w:t>06</w:t>
      </w:r>
      <w:r>
        <w:rPr>
          <w:rFonts w:hint="eastAsia" w:ascii="仿宋" w:eastAsia="仿宋"/>
          <w:sz w:val="32"/>
          <w:szCs w:val="32"/>
        </w:rPr>
        <w:t>元。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四、</w:t>
      </w:r>
      <w:r>
        <w:rPr>
          <w:rFonts w:ascii="仿宋_GB2312" w:eastAsia="仿宋_GB2312"/>
          <w:color w:val="000000"/>
          <w:sz w:val="32"/>
          <w:szCs w:val="32"/>
        </w:rPr>
        <w:t>部门“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spacing w:line="360" w:lineRule="auto"/>
        <w:ind w:firstLine="646"/>
        <w:rPr>
          <w:rFonts w:ascii="仿宋_GB2312" w:hAnsi="仿宋_GB2312" w:eastAsia="仿宋"/>
          <w:sz w:val="32"/>
          <w:szCs w:val="32"/>
        </w:rPr>
      </w:pPr>
      <w:r>
        <w:rPr>
          <w:rFonts w:hint="eastAsia" w:ascii="仿宋_GB2312" w:hAnsi="仿宋_GB2312" w:eastAsia="仿宋"/>
          <w:sz w:val="32"/>
          <w:szCs w:val="32"/>
        </w:rPr>
        <w:t>北京市西城区园林绿化局(本级)部门预算</w:t>
      </w:r>
      <w:r>
        <w:rPr>
          <w:rFonts w:ascii="仿宋_GB2312" w:hAnsi="仿宋_GB2312" w:eastAsia="仿宋"/>
          <w:sz w:val="32"/>
          <w:szCs w:val="32"/>
        </w:rPr>
        <w:t>和二级预算单位</w:t>
      </w:r>
      <w:r>
        <w:rPr>
          <w:rFonts w:hint="eastAsia" w:ascii="仿宋_GB2312" w:hAnsi="仿宋_GB2312" w:eastAsia="仿宋"/>
          <w:sz w:val="32"/>
          <w:szCs w:val="32"/>
        </w:rPr>
        <w:t>中因公出国（境）费、公务接待费、公务用车购置及运行维护费的支出单位包括</w:t>
      </w:r>
      <w:r>
        <w:rPr>
          <w:rFonts w:ascii="仿宋_GB2312" w:hAnsi="仿宋_GB2312" w:eastAsia="仿宋"/>
          <w:sz w:val="32"/>
          <w:szCs w:val="32"/>
        </w:rPr>
        <w:t>6</w:t>
      </w:r>
      <w:r>
        <w:rPr>
          <w:rFonts w:hint="eastAsia" w:ascii="仿宋_GB2312" w:hAnsi="仿宋_GB2312" w:eastAsia="仿宋"/>
          <w:sz w:val="32"/>
          <w:szCs w:val="32"/>
        </w:rPr>
        <w:t>个所属单位。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360" w:lineRule="auto"/>
        <w:ind w:firstLine="646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2022年部门预算“三公”经费财政拨款预算安排12.66万元比2021年预算12.90万元减少0.24万元，减少1.86%，主要原因是公务接待费减少所致。其中，</w:t>
      </w:r>
    </w:p>
    <w:p>
      <w:pPr>
        <w:spacing w:line="360" w:lineRule="auto"/>
        <w:ind w:firstLine="646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1、因公出国（境）费</w:t>
      </w:r>
    </w:p>
    <w:p>
      <w:pPr>
        <w:spacing w:line="360" w:lineRule="auto"/>
        <w:ind w:firstLine="646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2022年财政拨款预算安排0万元, 与2021年财政预算数持平。</w:t>
      </w:r>
    </w:p>
    <w:p>
      <w:pPr>
        <w:spacing w:line="360" w:lineRule="auto"/>
        <w:ind w:firstLine="646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2、公务接待费</w:t>
      </w:r>
    </w:p>
    <w:p>
      <w:pPr>
        <w:spacing w:line="360" w:lineRule="auto"/>
        <w:ind w:firstLine="646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2022年财政拨款预算安排5.31万元</w:t>
      </w:r>
      <w:r>
        <w:rPr>
          <w:rFonts w:ascii="仿宋" w:eastAsia="仿宋"/>
          <w:sz w:val="32"/>
          <w:szCs w:val="32"/>
        </w:rPr>
        <w:t>，</w:t>
      </w:r>
      <w:r>
        <w:rPr>
          <w:rFonts w:hint="eastAsia" w:ascii="仿宋" w:eastAsia="仿宋"/>
          <w:sz w:val="32"/>
          <w:szCs w:val="32"/>
        </w:rPr>
        <w:t>比2021年的5.85万元减少0.54万元，减少1.86%，主要原因是办公需求减少所致。</w:t>
      </w:r>
    </w:p>
    <w:p>
      <w:pPr>
        <w:spacing w:line="360" w:lineRule="auto"/>
        <w:ind w:firstLine="646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3、公务用车购置及运行维护费</w:t>
      </w:r>
    </w:p>
    <w:p>
      <w:pPr>
        <w:spacing w:line="360" w:lineRule="auto"/>
        <w:ind w:firstLine="646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2022年财政拨款预算安排7.35万元，比2021年的</w:t>
      </w:r>
      <w:r>
        <w:rPr>
          <w:rFonts w:ascii="仿宋" w:eastAsia="仿宋"/>
          <w:sz w:val="32"/>
          <w:szCs w:val="32"/>
        </w:rPr>
        <w:t>7</w:t>
      </w:r>
      <w:r>
        <w:rPr>
          <w:rFonts w:hint="eastAsia" w:ascii="仿宋" w:eastAsia="仿宋"/>
          <w:sz w:val="32"/>
          <w:szCs w:val="32"/>
        </w:rPr>
        <w:t>.</w:t>
      </w:r>
      <w:r>
        <w:rPr>
          <w:rFonts w:ascii="仿宋" w:eastAsia="仿宋"/>
          <w:sz w:val="32"/>
          <w:szCs w:val="32"/>
        </w:rPr>
        <w:t>05</w:t>
      </w:r>
      <w:r>
        <w:rPr>
          <w:rFonts w:hint="eastAsia" w:ascii="仿宋" w:eastAsia="仿宋"/>
          <w:sz w:val="32"/>
          <w:szCs w:val="32"/>
        </w:rPr>
        <w:t>万元增加0.3万元，增加4.26%，主要原因是一辆公务用车使用年限由5年以下变为5年以上，标准增加。其中公务用车购置费0万元，公务用车运行维护费</w:t>
      </w:r>
      <w:r>
        <w:rPr>
          <w:rFonts w:ascii="仿宋" w:eastAsia="仿宋"/>
          <w:sz w:val="32"/>
          <w:szCs w:val="32"/>
        </w:rPr>
        <w:t>7</w:t>
      </w:r>
      <w:r>
        <w:rPr>
          <w:rFonts w:hint="eastAsia" w:ascii="仿宋" w:eastAsia="仿宋"/>
          <w:sz w:val="32"/>
          <w:szCs w:val="32"/>
        </w:rPr>
        <w:t>.</w:t>
      </w:r>
      <w:r>
        <w:rPr>
          <w:rFonts w:ascii="仿宋" w:eastAsia="仿宋"/>
          <w:sz w:val="32"/>
          <w:szCs w:val="32"/>
        </w:rPr>
        <w:t>35</w:t>
      </w:r>
      <w:r>
        <w:rPr>
          <w:rFonts w:hint="eastAsia" w:ascii="仿宋" w:eastAsia="仿宋"/>
          <w:sz w:val="32"/>
          <w:szCs w:val="32"/>
        </w:rPr>
        <w:t>万元。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2022年本部门(本级）履行一般行政事业管理职能、维持机关运行，用于一般公共预算安排的行政运行经费，合计711.65万元，比2021年的</w:t>
      </w:r>
      <w:r>
        <w:rPr>
          <w:rFonts w:ascii="仿宋_GB2312" w:eastAsia="仿宋_GB2312"/>
          <w:color w:val="000000"/>
          <w:sz w:val="32"/>
          <w:szCs w:val="32"/>
        </w:rPr>
        <w:t>533.82</w:t>
      </w:r>
      <w:r>
        <w:rPr>
          <w:rFonts w:hint="eastAsia" w:ascii="仿宋_GB2312" w:eastAsia="仿宋_GB2312"/>
          <w:color w:val="000000"/>
          <w:sz w:val="32"/>
          <w:szCs w:val="32"/>
        </w:rPr>
        <w:t>万元增加177.83万元，增长33.31%，主要是政策标准变化、工作需要增加项目及人员增加所致</w:t>
      </w:r>
      <w:r>
        <w:rPr>
          <w:rFonts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                                                                                          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>
      <w:pPr>
        <w:spacing w:line="360" w:lineRule="auto"/>
        <w:ind w:firstLine="640" w:firstLineChars="200"/>
        <w:rPr>
          <w:rFonts w:ascii="仿宋" w:eastAsia="仿宋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2022年涉及政府采购项目0个，预算资金0万元，比2021年涉及政府采购项目2个，预算资金42.23万元减少 42.23万元,</w:t>
      </w:r>
      <w:r>
        <w:rPr>
          <w:rFonts w:hint="eastAsia" w:ascii="仿宋" w:eastAsia="仿宋"/>
          <w:color w:val="000000"/>
          <w:sz w:val="32"/>
          <w:szCs w:val="32"/>
        </w:rPr>
        <w:t>主要原因是具体工作需要,采购项目减少所致。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spacing w:line="360" w:lineRule="auto"/>
        <w:ind w:firstLine="480" w:firstLineChars="15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2022年涉及政府购买服务项目5个，预算资金81.13 万元，比2021年涉及政府购买服务项目8个，预算资金118.22万元，减少37.09万元，主要原因是按职能正常压缩购买服务比例所致。</w:t>
      </w:r>
    </w:p>
    <w:p>
      <w:pPr>
        <w:spacing w:line="360" w:lineRule="auto"/>
        <w:ind w:firstLine="640" w:firstLineChars="200"/>
        <w:rPr>
          <w:rFonts w:hint="eastAsia" w:ascii="仿宋" w:eastAsia="仿宋" w:cs="Arial"/>
          <w:sz w:val="32"/>
          <w:szCs w:val="32"/>
        </w:rPr>
      </w:pPr>
      <w:r>
        <w:rPr>
          <w:rFonts w:hint="eastAsia" w:ascii="仿宋" w:eastAsia="仿宋" w:cs="Arial"/>
          <w:sz w:val="32"/>
          <w:szCs w:val="32"/>
          <w:lang w:val="en-US" w:eastAsia="zh-CN"/>
        </w:rPr>
        <w:t>2022年的政府采购服务，</w:t>
      </w:r>
      <w:r>
        <w:rPr>
          <w:rFonts w:hint="eastAsia" w:ascii="仿宋" w:eastAsia="仿宋" w:cs="Arial"/>
          <w:sz w:val="32"/>
          <w:szCs w:val="32"/>
          <w:lang w:eastAsia="zh-CN"/>
        </w:rPr>
        <w:t>分别为以下几个</w:t>
      </w:r>
      <w:r>
        <w:rPr>
          <w:rFonts w:hint="eastAsia" w:ascii="仿宋" w:eastAsia="仿宋" w:cs="Arial"/>
          <w:sz w:val="32"/>
          <w:szCs w:val="32"/>
        </w:rPr>
        <w:t>项目：</w:t>
      </w:r>
    </w:p>
    <w:p>
      <w:pPr>
        <w:spacing w:line="360" w:lineRule="auto"/>
        <w:ind w:firstLine="480" w:firstLineChars="150"/>
        <w:rPr>
          <w:rFonts w:hint="eastAsia" w:ascii="仿宋" w:eastAsia="仿宋" w:cs="Arial"/>
          <w:sz w:val="32"/>
          <w:szCs w:val="32"/>
        </w:rPr>
      </w:pPr>
      <w:r>
        <w:rPr>
          <w:rFonts w:hint="eastAsia" w:ascii="仿宋" w:eastAsia="仿宋" w:cs="Arial"/>
          <w:sz w:val="32"/>
          <w:szCs w:val="32"/>
        </w:rPr>
        <w:t>1、安全应急工作（培训和安全生产）1.06万元。</w:t>
      </w:r>
    </w:p>
    <w:p>
      <w:pPr>
        <w:spacing w:line="360" w:lineRule="auto"/>
        <w:ind w:firstLine="480" w:firstLineChars="150"/>
        <w:rPr>
          <w:rFonts w:hint="eastAsia" w:ascii="仿宋" w:eastAsia="仿宋" w:cs="Arial"/>
          <w:sz w:val="32"/>
          <w:szCs w:val="32"/>
        </w:rPr>
      </w:pPr>
      <w:r>
        <w:rPr>
          <w:rFonts w:hint="eastAsia" w:ascii="仿宋" w:eastAsia="仿宋" w:cs="Arial"/>
          <w:sz w:val="32"/>
          <w:szCs w:val="32"/>
        </w:rPr>
        <w:t xml:space="preserve">2、法律顾问服务 </w:t>
      </w:r>
      <w:r>
        <w:rPr>
          <w:rFonts w:hint="eastAsia" w:ascii="仿宋" w:eastAsia="仿宋" w:cs="Arial"/>
          <w:sz w:val="32"/>
          <w:szCs w:val="32"/>
          <w:lang w:val="en-US" w:eastAsia="zh-CN"/>
        </w:rPr>
        <w:t>15</w:t>
      </w:r>
      <w:r>
        <w:rPr>
          <w:rFonts w:hint="eastAsia" w:ascii="仿宋" w:eastAsia="仿宋" w:cs="Arial"/>
          <w:sz w:val="32"/>
          <w:szCs w:val="32"/>
        </w:rPr>
        <w:t xml:space="preserve"> 万元。</w:t>
      </w:r>
    </w:p>
    <w:p>
      <w:pPr>
        <w:spacing w:line="360" w:lineRule="auto"/>
        <w:ind w:firstLine="480" w:firstLineChars="150"/>
        <w:rPr>
          <w:rFonts w:hint="eastAsia" w:ascii="仿宋" w:eastAsia="仿宋" w:cs="Arial"/>
          <w:sz w:val="32"/>
          <w:szCs w:val="32"/>
        </w:rPr>
      </w:pPr>
      <w:r>
        <w:rPr>
          <w:rFonts w:hint="eastAsia" w:ascii="仿宋" w:eastAsia="仿宋" w:cs="Arial"/>
          <w:sz w:val="32"/>
          <w:szCs w:val="32"/>
        </w:rPr>
        <w:t xml:space="preserve">3、物业服务 </w:t>
      </w:r>
      <w:r>
        <w:rPr>
          <w:rFonts w:hint="eastAsia" w:ascii="仿宋" w:eastAsia="仿宋" w:cs="Arial"/>
          <w:sz w:val="32"/>
          <w:szCs w:val="32"/>
          <w:lang w:val="en-US" w:eastAsia="zh-CN"/>
        </w:rPr>
        <w:t>22.4262</w:t>
      </w:r>
      <w:r>
        <w:rPr>
          <w:rFonts w:hint="eastAsia" w:ascii="仿宋" w:eastAsia="仿宋" w:cs="Arial"/>
          <w:sz w:val="32"/>
          <w:szCs w:val="32"/>
        </w:rPr>
        <w:t>万元。</w:t>
      </w:r>
    </w:p>
    <w:p>
      <w:pPr>
        <w:spacing w:line="360" w:lineRule="auto"/>
        <w:ind w:firstLine="480" w:firstLineChars="150"/>
        <w:rPr>
          <w:rFonts w:hint="eastAsia" w:ascii="仿宋" w:eastAsia="仿宋" w:cs="Arial"/>
          <w:sz w:val="32"/>
          <w:szCs w:val="32"/>
        </w:rPr>
      </w:pPr>
      <w:r>
        <w:rPr>
          <w:rFonts w:hint="eastAsia" w:ascii="仿宋" w:eastAsia="仿宋" w:cs="Arial"/>
          <w:sz w:val="32"/>
          <w:szCs w:val="32"/>
        </w:rPr>
        <w:t xml:space="preserve">4、园林绿化资源动态监测评价服务 </w:t>
      </w:r>
      <w:r>
        <w:rPr>
          <w:rFonts w:hint="eastAsia" w:ascii="仿宋" w:eastAsia="仿宋" w:cs="Arial"/>
          <w:sz w:val="32"/>
          <w:szCs w:val="32"/>
          <w:lang w:val="en-US" w:eastAsia="zh-CN"/>
        </w:rPr>
        <w:t>10</w:t>
      </w:r>
      <w:r>
        <w:rPr>
          <w:rFonts w:hint="eastAsia" w:ascii="仿宋" w:eastAsia="仿宋" w:cs="Arial"/>
          <w:sz w:val="32"/>
          <w:szCs w:val="32"/>
        </w:rPr>
        <w:t xml:space="preserve"> 万元。</w:t>
      </w:r>
    </w:p>
    <w:p>
      <w:pPr>
        <w:spacing w:line="360" w:lineRule="auto"/>
        <w:ind w:firstLine="480" w:firstLineChars="150"/>
        <w:rPr>
          <w:rFonts w:hint="eastAsia" w:ascii="仿宋" w:eastAsia="仿宋" w:cs="Arial"/>
          <w:sz w:val="32"/>
          <w:szCs w:val="32"/>
        </w:rPr>
      </w:pPr>
      <w:r>
        <w:rPr>
          <w:rFonts w:hint="eastAsia" w:ascii="仿宋" w:eastAsia="仿宋" w:cs="Arial"/>
          <w:sz w:val="32"/>
          <w:szCs w:val="32"/>
        </w:rPr>
        <w:t xml:space="preserve">5、运行管理服务 </w:t>
      </w:r>
      <w:r>
        <w:rPr>
          <w:rFonts w:hint="eastAsia" w:ascii="仿宋" w:eastAsia="仿宋" w:cs="Arial"/>
          <w:sz w:val="32"/>
          <w:szCs w:val="32"/>
          <w:lang w:val="en-US" w:eastAsia="zh-CN"/>
        </w:rPr>
        <w:t>32.64</w:t>
      </w:r>
      <w:r>
        <w:rPr>
          <w:rFonts w:hint="eastAsia" w:ascii="仿宋" w:eastAsia="仿宋" w:cs="Arial"/>
          <w:sz w:val="32"/>
          <w:szCs w:val="32"/>
        </w:rPr>
        <w:t xml:space="preserve"> 万元。</w:t>
      </w:r>
    </w:p>
    <w:p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</w:t>
      </w:r>
      <w:r>
        <w:rPr>
          <w:rFonts w:ascii="仿宋_GB2312" w:eastAsia="仿宋_GB2312"/>
          <w:sz w:val="32"/>
          <w:szCs w:val="32"/>
        </w:rPr>
        <w:t>绩效目标情况</w:t>
      </w:r>
      <w:r>
        <w:rPr>
          <w:rFonts w:hint="eastAsia" w:ascii="仿宋_GB2312" w:eastAsia="仿宋_GB2312"/>
          <w:sz w:val="32"/>
          <w:szCs w:val="32"/>
        </w:rPr>
        <w:t>及绩效评价结果</w:t>
      </w:r>
      <w:r>
        <w:rPr>
          <w:rFonts w:ascii="仿宋_GB2312" w:eastAsia="仿宋_GB2312"/>
          <w:sz w:val="32"/>
          <w:szCs w:val="32"/>
        </w:rPr>
        <w:t>说明</w:t>
      </w:r>
    </w:p>
    <w:p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2022年填报绩效目标的预算项目为19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个，金额为</w:t>
      </w:r>
      <w:r>
        <w:rPr>
          <w:rFonts w:ascii="仿宋_GB2312" w:eastAsia="仿宋_GB2312"/>
          <w:sz w:val="32"/>
          <w:szCs w:val="32"/>
        </w:rPr>
        <w:t>5305.47</w:t>
      </w:r>
      <w:r>
        <w:rPr>
          <w:rFonts w:hint="eastAsia" w:ascii="仿宋_GB2312" w:eastAsia="仿宋_GB2312"/>
          <w:sz w:val="32"/>
          <w:szCs w:val="32"/>
        </w:rPr>
        <w:t>万元。</w:t>
      </w:r>
      <w:r>
        <w:rPr>
          <w:rFonts w:ascii="仿宋_GB2312" w:eastAsia="仿宋_GB2312"/>
          <w:sz w:val="32"/>
          <w:szCs w:val="32"/>
        </w:rPr>
        <w:t>其中包括市级转移支付资金项目1个，金额2200万元。</w:t>
      </w:r>
    </w:p>
    <w:p>
      <w:pPr>
        <w:spacing w:line="360" w:lineRule="auto"/>
        <w:ind w:firstLine="645"/>
        <w:rPr>
          <w:rFonts w:ascii="仿宋" w:eastAsia="仿宋" w:cs="仿宋"/>
          <w:color w:val="000000"/>
          <w:sz w:val="32"/>
          <w:szCs w:val="32"/>
        </w:rPr>
      </w:pPr>
      <w:r>
        <w:rPr>
          <w:rFonts w:hint="eastAsia" w:ascii="仿宋" w:eastAsia="仿宋"/>
          <w:color w:val="000000"/>
          <w:sz w:val="32"/>
          <w:szCs w:val="32"/>
        </w:rPr>
        <w:t>2021年根据区财政局的要求，我局委托事务所对</w:t>
      </w:r>
      <w:r>
        <w:rPr>
          <w:rFonts w:hint="eastAsia" w:ascii="仿宋" w:eastAsia="仿宋" w:cs="仿宋"/>
          <w:color w:val="000000"/>
          <w:sz w:val="32"/>
          <w:szCs w:val="32"/>
        </w:rPr>
        <w:t>2021年部门支出整体绩效和项目成本预算绩效分析，评定级别为“优秀”。</w:t>
      </w:r>
    </w:p>
    <w:p>
      <w:pPr>
        <w:spacing w:line="360" w:lineRule="auto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hint="eastAsia" w:ascii="仿宋_GB2312" w:eastAsia="仿宋_GB2312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360" w:lineRule="auto"/>
        <w:ind w:firstLine="640" w:firstLineChars="200"/>
        <w:rPr>
          <w:rFonts w:ascii="仿宋" w:eastAsia="仿宋" w:cs="仿宋_GB2312"/>
          <w:sz w:val="32"/>
          <w:szCs w:val="32"/>
        </w:rPr>
      </w:pPr>
      <w:r>
        <w:rPr>
          <w:rFonts w:hint="eastAsia" w:ascii="仿宋" w:eastAsia="仿宋" w:cs="仿宋_GB2312"/>
          <w:sz w:val="32"/>
          <w:szCs w:val="32"/>
        </w:rPr>
        <w:t>2022年北京市西城区园林绿化局</w:t>
      </w:r>
      <w:r>
        <w:rPr>
          <w:rFonts w:ascii="仿宋" w:eastAsia="仿宋" w:cs="仿宋_GB2312"/>
          <w:sz w:val="32"/>
          <w:szCs w:val="32"/>
        </w:rPr>
        <w:t>及下属二级预算单位</w:t>
      </w:r>
      <w:r>
        <w:rPr>
          <w:rFonts w:hint="eastAsia" w:ascii="仿宋" w:eastAsia="仿宋" w:cs="仿宋_GB2312"/>
          <w:sz w:val="32"/>
          <w:szCs w:val="32"/>
        </w:rPr>
        <w:t>无国有资本经营预算拨款收支。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>
      <w:pPr>
        <w:spacing w:line="360" w:lineRule="auto"/>
        <w:ind w:firstLine="640" w:firstLineChars="200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/>
          <w:color w:val="000000"/>
          <w:sz w:val="32"/>
          <w:szCs w:val="32"/>
        </w:rPr>
        <w:t>截止</w:t>
      </w:r>
      <w:r>
        <w:rPr>
          <w:rFonts w:hint="eastAsia" w:ascii="仿宋" w:eastAsia="仿宋"/>
          <w:color w:val="000000"/>
          <w:sz w:val="32"/>
          <w:szCs w:val="32"/>
        </w:rPr>
        <w:t>2021年</w:t>
      </w:r>
      <w:r>
        <w:rPr>
          <w:rFonts w:ascii="仿宋" w:eastAsia="仿宋"/>
          <w:color w:val="000000"/>
          <w:sz w:val="32"/>
          <w:szCs w:val="32"/>
        </w:rPr>
        <w:t>底，</w:t>
      </w:r>
      <w:r>
        <w:rPr>
          <w:rFonts w:hint="eastAsia" w:ascii="仿宋" w:eastAsia="仿宋"/>
          <w:color w:val="000000"/>
          <w:sz w:val="32"/>
          <w:szCs w:val="32"/>
        </w:rPr>
        <w:t>本部门</w:t>
      </w:r>
      <w:r>
        <w:rPr>
          <w:rFonts w:asci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eastAsia="仿宋"/>
          <w:color w:val="000000"/>
          <w:sz w:val="32"/>
          <w:szCs w:val="32"/>
        </w:rPr>
        <w:t>2995.99万元。</w:t>
      </w:r>
    </w:p>
    <w:p>
      <w:pPr>
        <w:spacing w:line="360" w:lineRule="auto"/>
        <w:ind w:firstLine="640" w:firstLineChars="200"/>
        <w:rPr>
          <w:rFonts w:ascii="仿宋" w:eastAsia="仿宋"/>
          <w:color w:val="000000"/>
          <w:sz w:val="32"/>
          <w:szCs w:val="32"/>
        </w:rPr>
      </w:pPr>
      <w:r>
        <w:rPr>
          <w:rFonts w:hint="eastAsia" w:ascii="仿宋" w:eastAsia="仿宋"/>
          <w:color w:val="000000"/>
          <w:sz w:val="32"/>
          <w:szCs w:val="32"/>
        </w:rPr>
        <w:t>2022部门预算：安排购置车辆0台</w:t>
      </w:r>
      <w:r>
        <w:rPr>
          <w:rFonts w:ascii="仿宋" w:eastAsia="仿宋"/>
          <w:color w:val="000000"/>
          <w:sz w:val="32"/>
          <w:szCs w:val="32"/>
        </w:rPr>
        <w:t>，</w:t>
      </w:r>
      <w:r>
        <w:rPr>
          <w:rFonts w:hint="eastAsia" w:ascii="仿宋" w:eastAsia="仿宋"/>
          <w:color w:val="000000"/>
          <w:sz w:val="32"/>
          <w:szCs w:val="32"/>
        </w:rPr>
        <w:t>0万元；安排购置单位</w:t>
      </w:r>
      <w:r>
        <w:rPr>
          <w:rFonts w:ascii="仿宋" w:eastAsia="仿宋"/>
          <w:color w:val="000000"/>
          <w:sz w:val="32"/>
          <w:szCs w:val="32"/>
        </w:rPr>
        <w:t>价值</w:t>
      </w:r>
      <w:r>
        <w:rPr>
          <w:rFonts w:hint="eastAsia" w:ascii="仿宋" w:eastAsia="仿宋"/>
          <w:color w:val="000000"/>
          <w:sz w:val="32"/>
          <w:szCs w:val="32"/>
        </w:rPr>
        <w:t>50万元以上</w:t>
      </w:r>
      <w:r>
        <w:rPr>
          <w:rFonts w:ascii="仿宋" w:eastAsia="仿宋"/>
          <w:color w:val="000000"/>
          <w:sz w:val="32"/>
          <w:szCs w:val="32"/>
        </w:rPr>
        <w:t>的</w:t>
      </w:r>
      <w:r>
        <w:rPr>
          <w:rFonts w:hint="eastAsia" w:ascii="仿宋" w:eastAsia="仿宋"/>
          <w:color w:val="000000"/>
          <w:sz w:val="32"/>
          <w:szCs w:val="32"/>
        </w:rPr>
        <w:t>通用</w:t>
      </w:r>
      <w:r>
        <w:rPr>
          <w:rFonts w:ascii="仿宋" w:eastAsia="仿宋"/>
          <w:color w:val="000000"/>
          <w:sz w:val="32"/>
          <w:szCs w:val="32"/>
        </w:rPr>
        <w:t>设备</w:t>
      </w:r>
      <w:r>
        <w:rPr>
          <w:rFonts w:hint="eastAsia" w:ascii="仿宋" w:eastAsia="仿宋"/>
          <w:color w:val="000000"/>
          <w:sz w:val="32"/>
          <w:szCs w:val="32"/>
        </w:rPr>
        <w:t>0台（套）、0万元，安排购置单位</w:t>
      </w:r>
      <w:r>
        <w:rPr>
          <w:rFonts w:ascii="仿宋" w:eastAsia="仿宋"/>
          <w:color w:val="000000"/>
          <w:sz w:val="32"/>
          <w:szCs w:val="32"/>
        </w:rPr>
        <w:t>价值100</w:t>
      </w:r>
      <w:r>
        <w:rPr>
          <w:rFonts w:hint="eastAsia" w:ascii="仿宋" w:eastAsia="仿宋"/>
          <w:color w:val="000000"/>
          <w:sz w:val="32"/>
          <w:szCs w:val="32"/>
        </w:rPr>
        <w:t>万元以上</w:t>
      </w:r>
      <w:r>
        <w:rPr>
          <w:rFonts w:ascii="仿宋" w:eastAsia="仿宋"/>
          <w:color w:val="000000"/>
          <w:sz w:val="32"/>
          <w:szCs w:val="32"/>
        </w:rPr>
        <w:t>的</w:t>
      </w:r>
      <w:r>
        <w:rPr>
          <w:rFonts w:hint="eastAsia" w:ascii="仿宋" w:eastAsia="仿宋"/>
          <w:color w:val="000000"/>
          <w:sz w:val="32"/>
          <w:szCs w:val="32"/>
        </w:rPr>
        <w:t>专用</w:t>
      </w:r>
      <w:r>
        <w:rPr>
          <w:rFonts w:ascii="仿宋" w:eastAsia="仿宋"/>
          <w:color w:val="000000"/>
          <w:sz w:val="32"/>
          <w:szCs w:val="32"/>
        </w:rPr>
        <w:t>设备</w:t>
      </w:r>
      <w:r>
        <w:rPr>
          <w:rFonts w:hint="eastAsia" w:ascii="仿宋" w:eastAsia="仿宋"/>
          <w:color w:val="000000"/>
          <w:sz w:val="32"/>
          <w:szCs w:val="32"/>
        </w:rPr>
        <w:t>0台（套）、0万元。</w:t>
      </w:r>
    </w:p>
    <w:p>
      <w:pPr>
        <w:spacing w:line="360" w:lineRule="auto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hint="eastAsia" w:ascii="仿宋_GB2312" w:eastAsia="仿宋_GB2312"/>
          <w:color w:val="000000"/>
          <w:sz w:val="32"/>
          <w:szCs w:val="32"/>
        </w:rPr>
        <w:t>解释</w:t>
      </w:r>
    </w:p>
    <w:p>
      <w:pPr>
        <w:spacing w:line="360" w:lineRule="auto"/>
        <w:ind w:firstLine="648"/>
        <w:rPr>
          <w:rFonts w:ascii="仿宋" w:eastAsia="仿宋"/>
        </w:rPr>
      </w:pPr>
      <w:r>
        <w:rPr>
          <w:rFonts w:hint="eastAsia" w:ascii="仿宋" w:eastAsia="仿宋"/>
          <w:sz w:val="32"/>
          <w:szCs w:val="32"/>
        </w:rPr>
        <w:t>机关运行经费是指为保障单位正常运行，用于购买货物和服务的各项资金，包括办公及印刷费、邮电费、差旅费、会议费、福利费、日常维修费、专用材料及一般设备购置费、网络运行维护费（全区）、办公用房租赁费、办公用房水电费、办公用房取暖费、办公用房物业管理费、公务用车运行维护以及其他费用。</w:t>
      </w:r>
    </w:p>
    <w:p>
      <w:pPr>
        <w:spacing w:line="560" w:lineRule="exact"/>
        <w:ind w:firstLine="210" w:firstLineChars="100"/>
      </w:pPr>
    </w:p>
    <w:p>
      <w:pPr>
        <w:spacing w:line="560" w:lineRule="exact"/>
        <w:ind w:firstLine="210" w:firstLineChars="100"/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2022年</w:t>
      </w:r>
      <w:r>
        <w:rPr>
          <w:rFonts w:ascii="仿宋_GB2312" w:eastAsia="仿宋_GB2312"/>
          <w:color w:val="000000"/>
          <w:sz w:val="32"/>
          <w:szCs w:val="32"/>
        </w:rPr>
        <w:t>部门预算</w:t>
      </w:r>
      <w:r>
        <w:rPr>
          <w:rFonts w:hint="eastAsia" w:ascii="仿宋_GB2312" w:eastAsia="仿宋_GB2312"/>
          <w:color w:val="000000"/>
          <w:sz w:val="32"/>
          <w:szCs w:val="32"/>
        </w:rPr>
        <w:t>表</w:t>
      </w:r>
    </w:p>
    <w:p>
      <w:pPr>
        <w:spacing w:line="560" w:lineRule="exact"/>
        <w:ind w:firstLine="320" w:firstLineChars="100"/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详见附表文件。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/>
    <w:sectPr>
      <w:pgSz w:w="11907" w:h="16840"/>
      <w:pgMar w:top="1077" w:right="1304" w:bottom="851" w:left="130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5A3D"/>
    <w:rsid w:val="00A32D76"/>
    <w:rsid w:val="00D334D5"/>
    <w:rsid w:val="01CC67D3"/>
    <w:rsid w:val="02CD3883"/>
    <w:rsid w:val="038056F5"/>
    <w:rsid w:val="038E17E3"/>
    <w:rsid w:val="03A41D8E"/>
    <w:rsid w:val="03B16018"/>
    <w:rsid w:val="03DA66FB"/>
    <w:rsid w:val="04976CBA"/>
    <w:rsid w:val="04F22168"/>
    <w:rsid w:val="059D6DDD"/>
    <w:rsid w:val="05E448D9"/>
    <w:rsid w:val="069F6097"/>
    <w:rsid w:val="07757FE2"/>
    <w:rsid w:val="07977306"/>
    <w:rsid w:val="083617ED"/>
    <w:rsid w:val="085979A1"/>
    <w:rsid w:val="08607EE9"/>
    <w:rsid w:val="08AA228E"/>
    <w:rsid w:val="090C3A40"/>
    <w:rsid w:val="091A499C"/>
    <w:rsid w:val="094E5C27"/>
    <w:rsid w:val="09902EA0"/>
    <w:rsid w:val="09DA4A20"/>
    <w:rsid w:val="0A2F6D11"/>
    <w:rsid w:val="0A8A4019"/>
    <w:rsid w:val="0B84204D"/>
    <w:rsid w:val="0B863B0C"/>
    <w:rsid w:val="0BE32B23"/>
    <w:rsid w:val="0C2F4E7D"/>
    <w:rsid w:val="0C361AE1"/>
    <w:rsid w:val="0C626633"/>
    <w:rsid w:val="0C8F0763"/>
    <w:rsid w:val="0CD81EBD"/>
    <w:rsid w:val="0D230FB5"/>
    <w:rsid w:val="0D8C7B10"/>
    <w:rsid w:val="0DAA0047"/>
    <w:rsid w:val="0E2C1372"/>
    <w:rsid w:val="0E414DB0"/>
    <w:rsid w:val="0FB57455"/>
    <w:rsid w:val="10205C0C"/>
    <w:rsid w:val="10D20298"/>
    <w:rsid w:val="1184545B"/>
    <w:rsid w:val="11C91EE9"/>
    <w:rsid w:val="120D4F66"/>
    <w:rsid w:val="124609C4"/>
    <w:rsid w:val="12767BD3"/>
    <w:rsid w:val="129428CD"/>
    <w:rsid w:val="13B93865"/>
    <w:rsid w:val="148D6F96"/>
    <w:rsid w:val="149B356A"/>
    <w:rsid w:val="14F91031"/>
    <w:rsid w:val="15257FAE"/>
    <w:rsid w:val="155915A5"/>
    <w:rsid w:val="15B95D87"/>
    <w:rsid w:val="160C2C2B"/>
    <w:rsid w:val="1622724F"/>
    <w:rsid w:val="163E5CE1"/>
    <w:rsid w:val="16417A32"/>
    <w:rsid w:val="16764ED7"/>
    <w:rsid w:val="16BE18B1"/>
    <w:rsid w:val="16DA6BD0"/>
    <w:rsid w:val="178F6DE5"/>
    <w:rsid w:val="17C1406E"/>
    <w:rsid w:val="19937256"/>
    <w:rsid w:val="19A80E8E"/>
    <w:rsid w:val="19CC7ABE"/>
    <w:rsid w:val="1A1041CA"/>
    <w:rsid w:val="1BF733F3"/>
    <w:rsid w:val="1CBA5064"/>
    <w:rsid w:val="1CE911A1"/>
    <w:rsid w:val="1E3130FB"/>
    <w:rsid w:val="1E5D7DE4"/>
    <w:rsid w:val="1E761FD5"/>
    <w:rsid w:val="1E8414AB"/>
    <w:rsid w:val="1E8D6898"/>
    <w:rsid w:val="1EA00CF0"/>
    <w:rsid w:val="1F8B5A77"/>
    <w:rsid w:val="1FB85B3A"/>
    <w:rsid w:val="1FC344FC"/>
    <w:rsid w:val="21113E26"/>
    <w:rsid w:val="214623F1"/>
    <w:rsid w:val="21857332"/>
    <w:rsid w:val="220424F7"/>
    <w:rsid w:val="22047F16"/>
    <w:rsid w:val="223B5EC4"/>
    <w:rsid w:val="22CC595A"/>
    <w:rsid w:val="234560C2"/>
    <w:rsid w:val="240506A3"/>
    <w:rsid w:val="245C630B"/>
    <w:rsid w:val="250C1A5D"/>
    <w:rsid w:val="25B01088"/>
    <w:rsid w:val="27152B0B"/>
    <w:rsid w:val="272C3DA1"/>
    <w:rsid w:val="272E1A6F"/>
    <w:rsid w:val="27B44060"/>
    <w:rsid w:val="281B59FC"/>
    <w:rsid w:val="2855521A"/>
    <w:rsid w:val="286C6F55"/>
    <w:rsid w:val="28A527AA"/>
    <w:rsid w:val="29F0729C"/>
    <w:rsid w:val="2A7A301E"/>
    <w:rsid w:val="2AB523E8"/>
    <w:rsid w:val="2AE05EBD"/>
    <w:rsid w:val="2AE44D10"/>
    <w:rsid w:val="2B2F2FE7"/>
    <w:rsid w:val="2B3C7DB7"/>
    <w:rsid w:val="2C3C4D29"/>
    <w:rsid w:val="2CC553CB"/>
    <w:rsid w:val="2CEA389F"/>
    <w:rsid w:val="2EAF07DF"/>
    <w:rsid w:val="2EBB3317"/>
    <w:rsid w:val="2F3F5FDD"/>
    <w:rsid w:val="2F4D0AB7"/>
    <w:rsid w:val="2F8307DC"/>
    <w:rsid w:val="2FAD1C54"/>
    <w:rsid w:val="2FB30984"/>
    <w:rsid w:val="305A4DFC"/>
    <w:rsid w:val="31047512"/>
    <w:rsid w:val="31266AAA"/>
    <w:rsid w:val="314B753D"/>
    <w:rsid w:val="31514A12"/>
    <w:rsid w:val="31EE017C"/>
    <w:rsid w:val="32215619"/>
    <w:rsid w:val="32237AD2"/>
    <w:rsid w:val="330D2718"/>
    <w:rsid w:val="332F3921"/>
    <w:rsid w:val="333E0F95"/>
    <w:rsid w:val="346D3728"/>
    <w:rsid w:val="34E77D02"/>
    <w:rsid w:val="34F672B7"/>
    <w:rsid w:val="35803F85"/>
    <w:rsid w:val="358A29D2"/>
    <w:rsid w:val="36260ED7"/>
    <w:rsid w:val="37DF73C7"/>
    <w:rsid w:val="38577303"/>
    <w:rsid w:val="38870294"/>
    <w:rsid w:val="3A9F0F6F"/>
    <w:rsid w:val="3AB62336"/>
    <w:rsid w:val="3BF54D40"/>
    <w:rsid w:val="3C115507"/>
    <w:rsid w:val="3C1D791F"/>
    <w:rsid w:val="3C431C85"/>
    <w:rsid w:val="3C6E01FF"/>
    <w:rsid w:val="3D327DE7"/>
    <w:rsid w:val="3D64290C"/>
    <w:rsid w:val="3D6B708F"/>
    <w:rsid w:val="3E067A26"/>
    <w:rsid w:val="3E406CC0"/>
    <w:rsid w:val="404635AB"/>
    <w:rsid w:val="404C09FD"/>
    <w:rsid w:val="41BE0075"/>
    <w:rsid w:val="42462313"/>
    <w:rsid w:val="430D623F"/>
    <w:rsid w:val="43696EA0"/>
    <w:rsid w:val="436E1044"/>
    <w:rsid w:val="44F54414"/>
    <w:rsid w:val="455F513D"/>
    <w:rsid w:val="465A4634"/>
    <w:rsid w:val="46EE5914"/>
    <w:rsid w:val="46F56612"/>
    <w:rsid w:val="48EA6EC4"/>
    <w:rsid w:val="49466193"/>
    <w:rsid w:val="49B1143B"/>
    <w:rsid w:val="49F677CC"/>
    <w:rsid w:val="4A0F0C2D"/>
    <w:rsid w:val="4A5B77E4"/>
    <w:rsid w:val="4A5E1CFE"/>
    <w:rsid w:val="4AF122FE"/>
    <w:rsid w:val="4B2B02B1"/>
    <w:rsid w:val="4B7670E9"/>
    <w:rsid w:val="4BEB232F"/>
    <w:rsid w:val="4BEC18EE"/>
    <w:rsid w:val="4C1D1114"/>
    <w:rsid w:val="4C3B5D00"/>
    <w:rsid w:val="4C9F46E2"/>
    <w:rsid w:val="4CD37EAA"/>
    <w:rsid w:val="4D883763"/>
    <w:rsid w:val="4E202B44"/>
    <w:rsid w:val="4F38386A"/>
    <w:rsid w:val="4F776780"/>
    <w:rsid w:val="509F1F1A"/>
    <w:rsid w:val="50C83761"/>
    <w:rsid w:val="50CF3A85"/>
    <w:rsid w:val="51571EDE"/>
    <w:rsid w:val="51D866BF"/>
    <w:rsid w:val="521440D6"/>
    <w:rsid w:val="52374F70"/>
    <w:rsid w:val="52596B22"/>
    <w:rsid w:val="533860EE"/>
    <w:rsid w:val="535B7022"/>
    <w:rsid w:val="539271B3"/>
    <w:rsid w:val="53DD0D09"/>
    <w:rsid w:val="5440293C"/>
    <w:rsid w:val="5497352E"/>
    <w:rsid w:val="55841A76"/>
    <w:rsid w:val="55EE1D17"/>
    <w:rsid w:val="56756485"/>
    <w:rsid w:val="57903EB1"/>
    <w:rsid w:val="57A2022B"/>
    <w:rsid w:val="57B07DCA"/>
    <w:rsid w:val="57BF53A3"/>
    <w:rsid w:val="5A46635B"/>
    <w:rsid w:val="5A5633BD"/>
    <w:rsid w:val="5A9705C7"/>
    <w:rsid w:val="5ABE1123"/>
    <w:rsid w:val="5AED6BA7"/>
    <w:rsid w:val="5B0F5808"/>
    <w:rsid w:val="5BE54DC1"/>
    <w:rsid w:val="5BF56D1F"/>
    <w:rsid w:val="5C857E02"/>
    <w:rsid w:val="5CCF11DA"/>
    <w:rsid w:val="5D207080"/>
    <w:rsid w:val="5DBB7AB4"/>
    <w:rsid w:val="5E5051F4"/>
    <w:rsid w:val="5E5F4852"/>
    <w:rsid w:val="5EB16C44"/>
    <w:rsid w:val="5EF87E7F"/>
    <w:rsid w:val="5F5751C3"/>
    <w:rsid w:val="60B25775"/>
    <w:rsid w:val="60EA30AA"/>
    <w:rsid w:val="60EC1E0A"/>
    <w:rsid w:val="60F07DDF"/>
    <w:rsid w:val="61287FA7"/>
    <w:rsid w:val="620145A0"/>
    <w:rsid w:val="62D131AD"/>
    <w:rsid w:val="63F6092F"/>
    <w:rsid w:val="64202E85"/>
    <w:rsid w:val="647A726C"/>
    <w:rsid w:val="64E11E3B"/>
    <w:rsid w:val="650A3BF6"/>
    <w:rsid w:val="65B306B1"/>
    <w:rsid w:val="65EE661C"/>
    <w:rsid w:val="666F4212"/>
    <w:rsid w:val="668E39BC"/>
    <w:rsid w:val="67346F1C"/>
    <w:rsid w:val="676165CB"/>
    <w:rsid w:val="684D6B7C"/>
    <w:rsid w:val="68980E5C"/>
    <w:rsid w:val="69530A3A"/>
    <w:rsid w:val="6ADA21CE"/>
    <w:rsid w:val="6AE00CBD"/>
    <w:rsid w:val="6B97482B"/>
    <w:rsid w:val="6C7B5081"/>
    <w:rsid w:val="6CEC2A56"/>
    <w:rsid w:val="6D03067D"/>
    <w:rsid w:val="6D8C6C44"/>
    <w:rsid w:val="6DBA4077"/>
    <w:rsid w:val="6EDA640D"/>
    <w:rsid w:val="6EE16340"/>
    <w:rsid w:val="6F113106"/>
    <w:rsid w:val="6F8A0C51"/>
    <w:rsid w:val="6FEC6633"/>
    <w:rsid w:val="6FF7705F"/>
    <w:rsid w:val="70B04ACF"/>
    <w:rsid w:val="70B0753B"/>
    <w:rsid w:val="71CD1DC1"/>
    <w:rsid w:val="723A0EE7"/>
    <w:rsid w:val="72CE6F75"/>
    <w:rsid w:val="72DB7D53"/>
    <w:rsid w:val="737A7016"/>
    <w:rsid w:val="73871F56"/>
    <w:rsid w:val="73DF6BA1"/>
    <w:rsid w:val="73F25F94"/>
    <w:rsid w:val="74600E4A"/>
    <w:rsid w:val="74C9127D"/>
    <w:rsid w:val="74D353B7"/>
    <w:rsid w:val="74F74B12"/>
    <w:rsid w:val="75A27EDC"/>
    <w:rsid w:val="76956110"/>
    <w:rsid w:val="76D363D8"/>
    <w:rsid w:val="77CD4730"/>
    <w:rsid w:val="78B33BC8"/>
    <w:rsid w:val="78B97E5D"/>
    <w:rsid w:val="79405D11"/>
    <w:rsid w:val="796B0384"/>
    <w:rsid w:val="7A4F4439"/>
    <w:rsid w:val="7ABB1FCD"/>
    <w:rsid w:val="7AEE2982"/>
    <w:rsid w:val="7B0E0DB2"/>
    <w:rsid w:val="7B746A10"/>
    <w:rsid w:val="7BBD78C1"/>
    <w:rsid w:val="7C02104A"/>
    <w:rsid w:val="7D396480"/>
    <w:rsid w:val="7D4B33B1"/>
    <w:rsid w:val="7E5F02E8"/>
    <w:rsid w:val="7ED91835"/>
    <w:rsid w:val="7F405C18"/>
    <w:rsid w:val="7FF7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2022-03-04T06:40:00Z</dcterms:created>
  <dc:creator>Administrator</dc:creator>
  <cp:lastModifiedBy>石卉然</cp:lastModifiedBy>
  <dcterms:modified xsi:type="dcterms:W3CDTF">2022-11-11T01:41:07Z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