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spacing w:line="720" w:lineRule="exact"/>
        <w:ind w:firstLine="640" w:firstLineChars="200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粮食加工品</w:t>
      </w:r>
    </w:p>
    <w:p>
      <w:pPr>
        <w:spacing w:line="720" w:lineRule="exact"/>
        <w:ind w:firstLine="640" w:firstLineChars="200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</w:t>
      </w:r>
    </w:p>
    <w:p>
      <w:pPr>
        <w:spacing w:line="72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等标准要求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和产品明示及质量要求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。</w:t>
      </w:r>
    </w:p>
    <w:p>
      <w:pPr>
        <w:tabs>
          <w:tab w:val="left" w:pos="801"/>
        </w:tabs>
        <w:spacing w:line="720" w:lineRule="exact"/>
        <w:ind w:firstLine="640" w:firstLineChars="200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铅(以Pb计)、脱氢乙酸及其钠盐(以脱氢乙酸计)等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指标。</w:t>
      </w:r>
    </w:p>
    <w:p>
      <w:pPr>
        <w:spacing w:line="720" w:lineRule="exact"/>
        <w:ind w:firstLine="640" w:firstLineChars="200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乳制品</w:t>
      </w:r>
    </w:p>
    <w:p>
      <w:pPr>
        <w:spacing w:line="720" w:lineRule="exact"/>
        <w:ind w:firstLine="640" w:firstLineChars="200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</w:t>
      </w:r>
    </w:p>
    <w:p>
      <w:pPr>
        <w:spacing w:line="72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《食品安全国家标准 灭菌乳》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GB 25190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-2010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）、《食品安全国家标准 调制乳》（GB 25191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-2010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）、卫生部、工业和信息化部、农业部、工商总局、质检总局公告2011年第10号《关于三聚氰胺在食品中的限量值的公告》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等标准要求。</w:t>
      </w:r>
    </w:p>
    <w:p>
      <w:pPr>
        <w:tabs>
          <w:tab w:val="left" w:pos="801"/>
        </w:tabs>
        <w:spacing w:line="720" w:lineRule="exact"/>
        <w:ind w:firstLine="640" w:firstLineChars="200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蛋白质、非脂乳固体、三聚氰胺等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三、食用农产品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畜禽肉及副产品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31650-2019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等标准要求。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检验项目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抽检项目包括磺胺类(总量)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恩诺沙星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呋喃唑酮代谢物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呋喃西林代谢物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呋喃妥因代谢物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呋喃它酮代谢物等指标。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default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（二）蔬菜</w:t>
      </w:r>
    </w:p>
    <w:p>
      <w:pPr>
        <w:spacing w:line="7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《食品安全国家标准 食品中污染物限量》（GB 2762-2017）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等标准要求。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2.检验项目</w:t>
      </w:r>
    </w:p>
    <w:p>
      <w:pPr>
        <w:spacing w:line="720" w:lineRule="exact"/>
        <w:ind w:firstLine="640" w:firstLineChars="200"/>
        <w:rPr>
          <w:rFonts w:hint="eastAsia" w:ascii="仿宋" w:hAnsi="仿宋" w:eastAsia="仿宋" w:cs="仿宋"/>
          <w:color w:val="141414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抽检项目包括铅(以Pb计)、甲拌磷、乐果、镉(以Cd计)、氯氟氰菊酯和高效氯氟氰菊酯、甲胺磷、乙酰甲胺磷、甲基异柳磷、灭线磷等指标。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（三）</w:t>
      </w:r>
      <w:bookmarkStart w:id="0" w:name="_GoBack"/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水果类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抽检依据是《食品安全国家标准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检验项目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抽检项目包括氧乐果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敌敌畏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毒死蜱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克百威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氯氟氰菊酯和高效氯氟氰菊酯等指标。</w:t>
      </w: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鲜蛋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抽检依据是《食品安全国家标准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《食品安全国家标准 食品中兽药最大残留限量》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GB 31650-2019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抽检项目包括甲硝唑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地美硝唑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氯霉素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呋喃唑酮代谢物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氟虫腈等指标。</w:t>
      </w:r>
    </w:p>
    <w:p>
      <w:pPr>
        <w:numPr>
          <w:numId w:val="0"/>
        </w:num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9A3B5"/>
    <w:multiLevelType w:val="singleLevel"/>
    <w:tmpl w:val="A589A3B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NzYwZjk3MDM2ZDZiZDY2NmYxMjg5ZDU5MDk4OTgifQ=="/>
  </w:docVars>
  <w:rsids>
    <w:rsidRoot w:val="00CE101E"/>
    <w:rsid w:val="00005DB8"/>
    <w:rsid w:val="00056535"/>
    <w:rsid w:val="00076766"/>
    <w:rsid w:val="0010175D"/>
    <w:rsid w:val="00160EC8"/>
    <w:rsid w:val="001A4F46"/>
    <w:rsid w:val="001B1CD2"/>
    <w:rsid w:val="0020142B"/>
    <w:rsid w:val="0027101D"/>
    <w:rsid w:val="002771A3"/>
    <w:rsid w:val="002772C7"/>
    <w:rsid w:val="00281629"/>
    <w:rsid w:val="002B448D"/>
    <w:rsid w:val="002E7F24"/>
    <w:rsid w:val="00312E84"/>
    <w:rsid w:val="00315831"/>
    <w:rsid w:val="00320BD8"/>
    <w:rsid w:val="003710C0"/>
    <w:rsid w:val="003A169B"/>
    <w:rsid w:val="003E196F"/>
    <w:rsid w:val="00424ABE"/>
    <w:rsid w:val="00446E0C"/>
    <w:rsid w:val="00515255"/>
    <w:rsid w:val="00520FCE"/>
    <w:rsid w:val="0057422D"/>
    <w:rsid w:val="005A095E"/>
    <w:rsid w:val="005A220A"/>
    <w:rsid w:val="005E4365"/>
    <w:rsid w:val="00647A85"/>
    <w:rsid w:val="0067106C"/>
    <w:rsid w:val="0068107E"/>
    <w:rsid w:val="007164C9"/>
    <w:rsid w:val="00741928"/>
    <w:rsid w:val="00751D8B"/>
    <w:rsid w:val="007A05DF"/>
    <w:rsid w:val="007C1FC4"/>
    <w:rsid w:val="007E3F39"/>
    <w:rsid w:val="00805A93"/>
    <w:rsid w:val="00812A22"/>
    <w:rsid w:val="00936CA3"/>
    <w:rsid w:val="009603C7"/>
    <w:rsid w:val="009E7ED9"/>
    <w:rsid w:val="009F6388"/>
    <w:rsid w:val="00AC5044"/>
    <w:rsid w:val="00B212A0"/>
    <w:rsid w:val="00B51C23"/>
    <w:rsid w:val="00B73843"/>
    <w:rsid w:val="00B83DE7"/>
    <w:rsid w:val="00C33ACD"/>
    <w:rsid w:val="00C745E5"/>
    <w:rsid w:val="00C93196"/>
    <w:rsid w:val="00C956C9"/>
    <w:rsid w:val="00CA145E"/>
    <w:rsid w:val="00CE101E"/>
    <w:rsid w:val="00D26FB7"/>
    <w:rsid w:val="00D41394"/>
    <w:rsid w:val="00D575B4"/>
    <w:rsid w:val="00DD193B"/>
    <w:rsid w:val="00E01668"/>
    <w:rsid w:val="00E9570E"/>
    <w:rsid w:val="00EC3C47"/>
    <w:rsid w:val="00EE4288"/>
    <w:rsid w:val="00EF450C"/>
    <w:rsid w:val="00F15235"/>
    <w:rsid w:val="00F31364"/>
    <w:rsid w:val="00F50A58"/>
    <w:rsid w:val="00FD2EC5"/>
    <w:rsid w:val="00FE734E"/>
    <w:rsid w:val="00FF339C"/>
    <w:rsid w:val="0199791B"/>
    <w:rsid w:val="07662CE0"/>
    <w:rsid w:val="08442E79"/>
    <w:rsid w:val="103C7C54"/>
    <w:rsid w:val="1917583F"/>
    <w:rsid w:val="1B0B3B57"/>
    <w:rsid w:val="20521F26"/>
    <w:rsid w:val="2A1A382E"/>
    <w:rsid w:val="2A500BB0"/>
    <w:rsid w:val="2BEE0681"/>
    <w:rsid w:val="36CD38C1"/>
    <w:rsid w:val="37A34F4D"/>
    <w:rsid w:val="389D76B7"/>
    <w:rsid w:val="3CD940F0"/>
    <w:rsid w:val="3E0975B0"/>
    <w:rsid w:val="4CFF2652"/>
    <w:rsid w:val="4EDE1349"/>
    <w:rsid w:val="56B04FD8"/>
    <w:rsid w:val="56CE1B5A"/>
    <w:rsid w:val="576029B4"/>
    <w:rsid w:val="5B006D48"/>
    <w:rsid w:val="5C9522CF"/>
    <w:rsid w:val="668209B2"/>
    <w:rsid w:val="6D2304AB"/>
    <w:rsid w:val="70ED4848"/>
    <w:rsid w:val="71E33685"/>
    <w:rsid w:val="7DE91B8E"/>
    <w:rsid w:val="7E8B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686</Words>
  <Characters>771</Characters>
  <Lines>10</Lines>
  <Paragraphs>2</Paragraphs>
  <TotalTime>6</TotalTime>
  <ScaleCrop>false</ScaleCrop>
  <LinksUpToDate>false</LinksUpToDate>
  <CharactersWithSpaces>805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2020-11-17T06:43:00Z</dcterms:created>
  <dc:creator>user</dc:creator>
  <cp:lastModifiedBy>陈</cp:lastModifiedBy>
  <dcterms:modified xsi:type="dcterms:W3CDTF">2022-11-25T09:58:27Z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CEDE7ABD09B6445B99888356A3422F72</vt:lpwstr>
  </property>
</Properties>
</file>