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222222"/>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222222"/>
          <w:spacing w:val="0"/>
          <w:sz w:val="44"/>
          <w:szCs w:val="44"/>
          <w:shd w:val="clear" w:fill="FFFFFF"/>
        </w:rPr>
      </w:pPr>
      <w:r>
        <w:rPr>
          <w:rFonts w:hint="eastAsia" w:ascii="方正小标宋简体" w:hAnsi="方正小标宋简体" w:eastAsia="方正小标宋简体" w:cs="方正小标宋简体"/>
          <w:i w:val="0"/>
          <w:caps w:val="0"/>
          <w:color w:val="222222"/>
          <w:spacing w:val="0"/>
          <w:sz w:val="44"/>
          <w:szCs w:val="44"/>
          <w:shd w:val="clear" w:fill="FFFFFF"/>
        </w:rPr>
        <w:t>北京市西城区人民政府国有资产监督管理委员会202</w:t>
      </w:r>
      <w:r>
        <w:rPr>
          <w:rFonts w:hint="eastAsia" w:ascii="方正小标宋简体" w:hAnsi="方正小标宋简体" w:eastAsia="方正小标宋简体" w:cs="方正小标宋简体"/>
          <w:i w:val="0"/>
          <w:caps w:val="0"/>
          <w:color w:val="222222"/>
          <w:spacing w:val="0"/>
          <w:sz w:val="44"/>
          <w:szCs w:val="44"/>
          <w:shd w:val="clear" w:fill="FFFFFF"/>
          <w:lang w:val="en-US" w:eastAsia="zh-CN"/>
        </w:rPr>
        <w:t>2</w:t>
      </w:r>
      <w:r>
        <w:rPr>
          <w:rFonts w:hint="eastAsia" w:ascii="方正小标宋简体" w:hAnsi="方正小标宋简体" w:eastAsia="方正小标宋简体" w:cs="方正小标宋简体"/>
          <w:i w:val="0"/>
          <w:caps w:val="0"/>
          <w:color w:val="222222"/>
          <w:spacing w:val="0"/>
          <w:sz w:val="44"/>
          <w:szCs w:val="44"/>
          <w:shd w:val="clear" w:fill="FFFFFF"/>
        </w:rPr>
        <w:t>年政府信息公开工作年度报告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依据《中华人民共和国政府信息公开条例》(以下简称《政府信息公开条例》)第五十条规定，编制本报告。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年以来，我委严格贯彻落实《中华人民共和国政府信息公开条例》、《北京市政府信息公开规定》、《北京市202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政务公开工作要点》等文件要求，坚持“公开为常态、不公开为例外”的基本原则，结合西城区国资监管、国企改革和国企党建工作等，及时公开国资监管履职相关信息，有力保障人民群众对国有资产监督管理及国企改革发展的知情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1.主动公开情况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年主动公开政府信息数</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条。其中，重点领域公开政府信息数15条，主动公开财政预算决算、“三公经费”和年度工作报告</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年度共收到政府信息公开申请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件。申请方式中，均为邮寄递交申请；申请人主体类别中，自然人身份申请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人。未收到行政复议和行政诉讼。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3.政府信息资源的规范化、标准化管理情况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区国资委政务公开全清单，全面公开国资监管信息。包括主要财务指标完成情况、国有资产保值增值情况等。为更好落实政务公开工作，组织加强对修订的《中华人民共和国政府信息公开条例》的学习，对全年政务公开工作统筹安排，进一步提高公开标准，严守完成时限；严格执行《西城区国资委政府公报接收及传阅流程》，规范开展政府公报相关工作，并进一步完善现有公文公开属性源头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4.政府信息公开平台建设情况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政府信息公开与融媒体平台的协同机制，依托“西城国资”微信公众号等政务新媒体，不断提升政策解读的实效性。持续宣传西城国资国企监管各项重点，积极回应市民关切、社会时政等工作，按照要求及时增加互动留言程序。同时积极配合区科信委积极对政府网站进行整合、调整工作，推进政府网站集约化建设，及时对政务数据资源目录系统编制工作进行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5.政府信息公开监督保障及教育培训情况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度重视单位政府信息公开工作人员、机关干部及全系统干部依法、依规开展政务公开的责任意识。依托市、区相关业务部门培训及指导，加强全体人员对《中华人民共和国政府信息公开条例》及政府信息公开工作相关法规文件的学习，积极参加业务主管单位组织的学习并在国资国企系统内开展培训，夯实政务公开工作理论基础，不断提高业务工作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6.其他相关工作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重点领域信息主动公开情况：严格落实市、区两级重点领域公开清单，结合我单位实际，由主管领导牵头，相关科室负责，确保公开及时、准确。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人大代表建议与政协委员提案办理情况：协调办理人大建议、政协提案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件。其中承办市级人大建议1件、区级政协提案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件；单办</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件，主办</w:t>
      </w:r>
      <w:r>
        <w:rPr>
          <w:rFonts w:hint="eastAsia" w:ascii="仿宋_GB2312" w:hAnsi="仿宋_GB2312" w:eastAsia="仿宋_GB2312" w:cs="仿宋_GB2312"/>
          <w:color w:val="auto"/>
          <w:sz w:val="32"/>
          <w:szCs w:val="32"/>
          <w:lang w:val="en-US" w:eastAsia="zh-CN"/>
        </w:rPr>
        <w:t>1件，</w:t>
      </w:r>
      <w:r>
        <w:rPr>
          <w:rFonts w:hint="eastAsia" w:ascii="仿宋_GB2312" w:hAnsi="仿宋_GB2312" w:eastAsia="仿宋_GB2312" w:cs="仿宋_GB2312"/>
          <w:color w:val="auto"/>
          <w:sz w:val="32"/>
          <w:szCs w:val="32"/>
          <w:lang w:eastAsia="zh-CN"/>
        </w:rPr>
        <w:t>会办</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件。上述提案议案全部于202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日前办理完成，办理情况由区政府统一公开。</w:t>
      </w:r>
    </w:p>
    <w:p>
      <w:pPr>
        <w:pStyle w:val="6"/>
        <w:keepNext w:val="0"/>
        <w:keepLines w:val="0"/>
        <w:widowControl/>
        <w:numPr>
          <w:ilvl w:val="0"/>
          <w:numId w:val="0"/>
        </w:numPr>
        <w:suppressLineNumbers w:val="0"/>
        <w:shd w:val="clear" w:fill="FFFFFF"/>
        <w:spacing w:before="0" w:beforeAutospacing="0" w:after="150" w:afterAutospacing="0" w:line="555" w:lineRule="atLeast"/>
        <w:ind w:left="645" w:leftChars="0" w:right="0" w:rightChars="0"/>
        <w:jc w:val="both"/>
        <w:rPr>
          <w:rFonts w:hint="eastAsia" w:ascii="黑体" w:hAnsi="宋体" w:eastAsia="黑体" w:cs="黑体"/>
          <w:color w:val="333333"/>
          <w:spacing w:val="0"/>
          <w:sz w:val="32"/>
          <w:szCs w:val="32"/>
          <w:shd w:val="clear" w:fill="FFFFFF"/>
        </w:rPr>
      </w:pPr>
      <w:r>
        <w:rPr>
          <w:rFonts w:hint="eastAsia" w:ascii="黑体" w:hAnsi="宋体" w:eastAsia="黑体" w:cs="黑体"/>
          <w:color w:val="333333"/>
          <w:spacing w:val="0"/>
          <w:sz w:val="32"/>
          <w:szCs w:val="32"/>
          <w:shd w:val="clear" w:fill="FFFFFF"/>
          <w:lang w:eastAsia="zh-CN"/>
        </w:rPr>
        <w:t>二、</w:t>
      </w:r>
      <w:r>
        <w:rPr>
          <w:rFonts w:hint="eastAsia" w:ascii="黑体" w:hAnsi="宋体" w:eastAsia="黑体" w:cs="黑体"/>
          <w:color w:val="333333"/>
          <w:spacing w:val="0"/>
          <w:sz w:val="32"/>
          <w:szCs w:val="32"/>
          <w:shd w:val="clear" w:fill="FFFFFF"/>
        </w:rPr>
        <w:t>主动公开政府信息情况</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9740" w:type="dxa"/>
            <w:gridSpan w:val="4"/>
            <w:shd w:val="clear" w:color="auto" w:fill="9AC1E5"/>
          </w:tcPr>
          <w:p>
            <w:pPr>
              <w:pStyle w:val="9"/>
              <w:spacing w:before="34"/>
              <w:ind w:left="3998" w:right="3981"/>
              <w:jc w:val="center"/>
              <w:rPr>
                <w:sz w:val="20"/>
              </w:rPr>
            </w:pPr>
            <w:r>
              <w:rPr>
                <w:w w:val="95"/>
                <w:sz w:val="20"/>
              </w:rPr>
              <w:t>第二十条第（一）</w:t>
            </w:r>
            <w:r>
              <w:rPr>
                <w:spacing w:val="-10"/>
                <w:w w:val="95"/>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right="796"/>
              <w:jc w:val="right"/>
              <w:rPr>
                <w:sz w:val="20"/>
              </w:rPr>
            </w:pPr>
            <w:r>
              <w:rPr>
                <w:w w:val="95"/>
                <w:sz w:val="20"/>
              </w:rPr>
              <w:t>信息内</w:t>
            </w:r>
            <w:r>
              <w:rPr>
                <w:spacing w:val="-10"/>
                <w:w w:val="95"/>
                <w:sz w:val="20"/>
              </w:rPr>
              <w:t>容</w:t>
            </w:r>
          </w:p>
        </w:tc>
        <w:tc>
          <w:tcPr>
            <w:tcW w:w="2435" w:type="dxa"/>
            <w:shd w:val="clear" w:color="auto" w:fill="DDEBF7"/>
          </w:tcPr>
          <w:p>
            <w:pPr>
              <w:pStyle w:val="9"/>
              <w:spacing w:before="34"/>
              <w:ind w:left="616"/>
              <w:rPr>
                <w:sz w:val="20"/>
              </w:rPr>
            </w:pPr>
            <w:r>
              <w:rPr>
                <w:w w:val="95"/>
                <w:sz w:val="20"/>
              </w:rPr>
              <w:t>本年制发</w:t>
            </w:r>
            <w:r>
              <w:rPr>
                <w:spacing w:val="-5"/>
                <w:w w:val="95"/>
                <w:sz w:val="20"/>
              </w:rPr>
              <w:t>件数</w:t>
            </w:r>
          </w:p>
        </w:tc>
        <w:tc>
          <w:tcPr>
            <w:tcW w:w="2435" w:type="dxa"/>
            <w:shd w:val="clear" w:color="auto" w:fill="DDEBF7"/>
          </w:tcPr>
          <w:p>
            <w:pPr>
              <w:pStyle w:val="9"/>
              <w:spacing w:before="34"/>
              <w:ind w:left="615"/>
              <w:rPr>
                <w:sz w:val="20"/>
              </w:rPr>
            </w:pPr>
            <w:r>
              <w:rPr>
                <w:w w:val="95"/>
                <w:sz w:val="20"/>
              </w:rPr>
              <w:t>本年废止</w:t>
            </w:r>
            <w:r>
              <w:rPr>
                <w:spacing w:val="-5"/>
                <w:w w:val="95"/>
                <w:sz w:val="20"/>
              </w:rPr>
              <w:t>件数</w:t>
            </w:r>
          </w:p>
        </w:tc>
        <w:tc>
          <w:tcPr>
            <w:tcW w:w="2435" w:type="dxa"/>
            <w:shd w:val="clear" w:color="auto" w:fill="DDEBF7"/>
          </w:tcPr>
          <w:p>
            <w:pPr>
              <w:pStyle w:val="9"/>
              <w:spacing w:before="34"/>
              <w:ind w:left="616"/>
              <w:rPr>
                <w:sz w:val="20"/>
              </w:rPr>
            </w:pPr>
            <w:r>
              <w:rPr>
                <w:w w:val="95"/>
                <w:sz w:val="20"/>
              </w:rPr>
              <w:t>现行有效</w:t>
            </w:r>
            <w:r>
              <w:rPr>
                <w:spacing w:val="-5"/>
                <w:w w:val="95"/>
                <w:sz w:val="20"/>
              </w:rPr>
              <w:t>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435" w:type="dxa"/>
            <w:shd w:val="clear" w:color="auto" w:fill="BDD7ED"/>
          </w:tcPr>
          <w:p>
            <w:pPr>
              <w:pStyle w:val="9"/>
              <w:spacing w:before="34"/>
              <w:ind w:left="56"/>
              <w:rPr>
                <w:sz w:val="20"/>
              </w:rPr>
            </w:pPr>
            <w:r>
              <w:rPr>
                <w:w w:val="95"/>
                <w:sz w:val="20"/>
              </w:rPr>
              <w:t>规</w:t>
            </w:r>
            <w:r>
              <w:rPr>
                <w:spacing w:val="-10"/>
                <w:sz w:val="20"/>
              </w:rPr>
              <w:t>章</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left="56"/>
              <w:rPr>
                <w:sz w:val="20"/>
              </w:rPr>
            </w:pPr>
            <w:r>
              <w:rPr>
                <w:w w:val="95"/>
                <w:sz w:val="20"/>
              </w:rPr>
              <w:t>行政规范性文</w:t>
            </w:r>
            <w:r>
              <w:rPr>
                <w:spacing w:val="-10"/>
                <w:w w:val="95"/>
                <w:sz w:val="20"/>
              </w:rPr>
              <w:t>件</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9740" w:type="dxa"/>
            <w:gridSpan w:val="4"/>
            <w:shd w:val="clear" w:color="auto" w:fill="9AC1E5"/>
          </w:tcPr>
          <w:p>
            <w:pPr>
              <w:pStyle w:val="9"/>
              <w:spacing w:before="34"/>
              <w:ind w:left="3998" w:right="3981"/>
              <w:jc w:val="center"/>
              <w:rPr>
                <w:sz w:val="20"/>
              </w:rPr>
            </w:pPr>
            <w:r>
              <w:rPr>
                <w:w w:val="95"/>
                <w:sz w:val="20"/>
              </w:rPr>
              <w:t>第二十条第（五）</w:t>
            </w:r>
            <w:r>
              <w:rPr>
                <w:spacing w:val="-10"/>
                <w:w w:val="95"/>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right="796"/>
              <w:jc w:val="right"/>
              <w:rPr>
                <w:sz w:val="20"/>
              </w:rPr>
            </w:pPr>
            <w:r>
              <w:rPr>
                <w:w w:val="95"/>
                <w:sz w:val="20"/>
              </w:rPr>
              <w:t>信息内</w:t>
            </w:r>
            <w:r>
              <w:rPr>
                <w:spacing w:val="-10"/>
                <w:w w:val="95"/>
                <w:sz w:val="20"/>
              </w:rPr>
              <w:t>容</w:t>
            </w:r>
          </w:p>
        </w:tc>
        <w:tc>
          <w:tcPr>
            <w:tcW w:w="7305" w:type="dxa"/>
            <w:gridSpan w:val="3"/>
            <w:shd w:val="clear" w:color="auto" w:fill="DDEBF7"/>
          </w:tcPr>
          <w:p>
            <w:pPr>
              <w:pStyle w:val="9"/>
              <w:spacing w:before="34"/>
              <w:ind w:left="2399" w:right="2384"/>
              <w:jc w:val="center"/>
              <w:rPr>
                <w:sz w:val="20"/>
              </w:rPr>
            </w:pPr>
            <w:r>
              <w:rPr>
                <w:w w:val="95"/>
                <w:sz w:val="20"/>
              </w:rPr>
              <w:t>本年处理决定数</w:t>
            </w:r>
            <w:r>
              <w:rPr>
                <w:spacing w:val="-10"/>
                <w:w w:val="95"/>
                <w:sz w:val="20"/>
              </w:rPr>
              <w:t>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left="56"/>
              <w:rPr>
                <w:sz w:val="20"/>
              </w:rPr>
            </w:pPr>
            <w:r>
              <w:rPr>
                <w:w w:val="95"/>
                <w:sz w:val="20"/>
              </w:rPr>
              <w:t>行政许</w:t>
            </w:r>
            <w:r>
              <w:rPr>
                <w:spacing w:val="-10"/>
                <w:w w:val="95"/>
                <w:sz w:val="20"/>
              </w:rPr>
              <w:t>可</w:t>
            </w:r>
          </w:p>
        </w:tc>
        <w:tc>
          <w:tcPr>
            <w:tcW w:w="7305" w:type="dxa"/>
            <w:gridSpan w:val="3"/>
            <w:vAlign w:val="center"/>
          </w:tcPr>
          <w:p>
            <w:pPr>
              <w:pStyle w:val="9"/>
              <w:jc w:val="center"/>
              <w:rPr>
                <w:rFonts w:hint="eastAsia" w:ascii="Times New Roman" w:eastAsia="宋体"/>
                <w:sz w:val="26"/>
                <w:lang w:eastAsia="zh-CN"/>
              </w:rPr>
            </w:pPr>
            <w:r>
              <w:rPr>
                <w:rFonts w:hint="eastAsia" w:ascii="宋体" w:hAnsi="宋体" w:eastAsia="宋体" w:cs="宋体"/>
                <w:w w:val="95"/>
                <w:sz w:val="20"/>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9740" w:type="dxa"/>
            <w:gridSpan w:val="4"/>
            <w:shd w:val="clear" w:color="auto" w:fill="9AC1E5"/>
          </w:tcPr>
          <w:p>
            <w:pPr>
              <w:pStyle w:val="9"/>
              <w:spacing w:before="34"/>
              <w:ind w:left="3998" w:right="3981"/>
              <w:jc w:val="center"/>
              <w:rPr>
                <w:sz w:val="20"/>
              </w:rPr>
            </w:pPr>
            <w:r>
              <w:rPr>
                <w:w w:val="95"/>
                <w:sz w:val="20"/>
              </w:rPr>
              <w:t>第二十条第（六）</w:t>
            </w:r>
            <w:r>
              <w:rPr>
                <w:spacing w:val="-10"/>
                <w:w w:val="95"/>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right="796"/>
              <w:jc w:val="right"/>
              <w:rPr>
                <w:sz w:val="20"/>
              </w:rPr>
            </w:pPr>
            <w:r>
              <w:rPr>
                <w:w w:val="95"/>
                <w:sz w:val="20"/>
              </w:rPr>
              <w:t>信息内</w:t>
            </w:r>
            <w:r>
              <w:rPr>
                <w:spacing w:val="-10"/>
                <w:w w:val="95"/>
                <w:sz w:val="20"/>
              </w:rPr>
              <w:t>容</w:t>
            </w:r>
          </w:p>
        </w:tc>
        <w:tc>
          <w:tcPr>
            <w:tcW w:w="7305" w:type="dxa"/>
            <w:gridSpan w:val="3"/>
            <w:shd w:val="clear" w:color="auto" w:fill="DDEBF7"/>
          </w:tcPr>
          <w:p>
            <w:pPr>
              <w:pStyle w:val="9"/>
              <w:spacing w:before="34"/>
              <w:ind w:left="2399" w:right="2384"/>
              <w:jc w:val="center"/>
              <w:rPr>
                <w:sz w:val="20"/>
              </w:rPr>
            </w:pPr>
            <w:r>
              <w:rPr>
                <w:w w:val="95"/>
                <w:sz w:val="20"/>
              </w:rPr>
              <w:t>本年处理决定数</w:t>
            </w:r>
            <w:r>
              <w:rPr>
                <w:spacing w:val="-10"/>
                <w:w w:val="95"/>
                <w:sz w:val="20"/>
              </w:rPr>
              <w:t>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left="56"/>
              <w:rPr>
                <w:sz w:val="20"/>
              </w:rPr>
            </w:pPr>
            <w:r>
              <w:rPr>
                <w:w w:val="95"/>
                <w:sz w:val="20"/>
              </w:rPr>
              <w:t>行政处</w:t>
            </w:r>
            <w:r>
              <w:rPr>
                <w:spacing w:val="-10"/>
                <w:w w:val="95"/>
                <w:sz w:val="20"/>
              </w:rPr>
              <w:t>罚</w:t>
            </w:r>
          </w:p>
        </w:tc>
        <w:tc>
          <w:tcPr>
            <w:tcW w:w="7305" w:type="dxa"/>
            <w:gridSpan w:val="3"/>
            <w:vAlign w:val="center"/>
          </w:tcPr>
          <w:p>
            <w:pPr>
              <w:pStyle w:val="9"/>
              <w:jc w:val="center"/>
              <w:rPr>
                <w:rFonts w:ascii="Times New Roman"/>
                <w:sz w:val="26"/>
              </w:rPr>
            </w:pPr>
            <w:r>
              <w:rPr>
                <w:rFonts w:hint="eastAsia" w:ascii="宋体" w:hAnsi="宋体" w:eastAsia="宋体" w:cs="宋体"/>
                <w:w w:val="95"/>
                <w:sz w:val="20"/>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left="56"/>
              <w:rPr>
                <w:sz w:val="20"/>
              </w:rPr>
            </w:pPr>
            <w:r>
              <w:rPr>
                <w:w w:val="95"/>
                <w:sz w:val="20"/>
              </w:rPr>
              <w:t>行政强</w:t>
            </w:r>
            <w:r>
              <w:rPr>
                <w:spacing w:val="-10"/>
                <w:w w:val="95"/>
                <w:sz w:val="20"/>
              </w:rPr>
              <w:t>制</w:t>
            </w:r>
          </w:p>
        </w:tc>
        <w:tc>
          <w:tcPr>
            <w:tcW w:w="7305" w:type="dxa"/>
            <w:gridSpan w:val="3"/>
            <w:vAlign w:val="center"/>
          </w:tcPr>
          <w:p>
            <w:pPr>
              <w:pStyle w:val="9"/>
              <w:jc w:val="center"/>
              <w:rPr>
                <w:rFonts w:ascii="Times New Roman"/>
                <w:sz w:val="26"/>
              </w:rPr>
            </w:pPr>
            <w:r>
              <w:rPr>
                <w:rFonts w:hint="eastAsia" w:ascii="宋体" w:hAnsi="宋体" w:eastAsia="宋体" w:cs="宋体"/>
                <w:w w:val="95"/>
                <w:sz w:val="20"/>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jc w:val="center"/>
        </w:trPr>
        <w:tc>
          <w:tcPr>
            <w:tcW w:w="9740" w:type="dxa"/>
            <w:gridSpan w:val="4"/>
            <w:shd w:val="clear" w:color="auto" w:fill="9AC1E5"/>
          </w:tcPr>
          <w:p>
            <w:pPr>
              <w:pStyle w:val="9"/>
              <w:spacing w:before="34"/>
              <w:ind w:left="3998" w:right="3981"/>
              <w:jc w:val="center"/>
              <w:rPr>
                <w:sz w:val="20"/>
              </w:rPr>
            </w:pPr>
            <w:r>
              <w:rPr>
                <w:w w:val="95"/>
                <w:sz w:val="20"/>
              </w:rPr>
              <w:t>第二十条第（八）</w:t>
            </w:r>
            <w:r>
              <w:rPr>
                <w:spacing w:val="-10"/>
                <w:w w:val="95"/>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right="796"/>
              <w:jc w:val="right"/>
              <w:rPr>
                <w:sz w:val="20"/>
              </w:rPr>
            </w:pPr>
            <w:r>
              <w:rPr>
                <w:w w:val="95"/>
                <w:sz w:val="20"/>
              </w:rPr>
              <w:t>信息内</w:t>
            </w:r>
            <w:r>
              <w:rPr>
                <w:spacing w:val="-10"/>
                <w:w w:val="95"/>
                <w:sz w:val="20"/>
              </w:rPr>
              <w:t>容</w:t>
            </w:r>
          </w:p>
        </w:tc>
        <w:tc>
          <w:tcPr>
            <w:tcW w:w="7305" w:type="dxa"/>
            <w:gridSpan w:val="3"/>
            <w:shd w:val="clear" w:color="auto" w:fill="DDEBF7"/>
          </w:tcPr>
          <w:p>
            <w:pPr>
              <w:pStyle w:val="9"/>
              <w:spacing w:before="34"/>
              <w:ind w:left="2401" w:right="2384"/>
              <w:jc w:val="center"/>
              <w:rPr>
                <w:sz w:val="20"/>
              </w:rPr>
            </w:pPr>
            <w:r>
              <w:rPr>
                <w:w w:val="95"/>
                <w:sz w:val="20"/>
              </w:rPr>
              <w:t>本年收费金额（单位：万元</w:t>
            </w:r>
            <w:r>
              <w:rPr>
                <w:spacing w:val="-10"/>
                <w:w w:val="95"/>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2435" w:type="dxa"/>
            <w:shd w:val="clear" w:color="auto" w:fill="BDD7ED"/>
          </w:tcPr>
          <w:p>
            <w:pPr>
              <w:pStyle w:val="9"/>
              <w:spacing w:before="175"/>
              <w:ind w:left="56"/>
              <w:rPr>
                <w:sz w:val="20"/>
              </w:rPr>
            </w:pPr>
            <w:r>
              <w:rPr>
                <w:w w:val="95"/>
                <w:sz w:val="20"/>
              </w:rPr>
              <w:t>行政事业性收</w:t>
            </w:r>
            <w:r>
              <w:rPr>
                <w:spacing w:val="-10"/>
                <w:w w:val="95"/>
                <w:sz w:val="20"/>
              </w:rPr>
              <w:t>费</w:t>
            </w:r>
          </w:p>
        </w:tc>
        <w:tc>
          <w:tcPr>
            <w:tcW w:w="7305" w:type="dxa"/>
            <w:gridSpan w:val="3"/>
            <w:vAlign w:val="center"/>
          </w:tcPr>
          <w:p>
            <w:pPr>
              <w:pStyle w:val="9"/>
              <w:jc w:val="center"/>
              <w:rPr>
                <w:rFonts w:ascii="Times New Roman"/>
                <w:sz w:val="26"/>
              </w:rPr>
            </w:pPr>
            <w:r>
              <w:rPr>
                <w:rFonts w:hint="eastAsia" w:ascii="宋体" w:hAnsi="宋体" w:eastAsia="宋体" w:cs="宋体"/>
                <w:w w:val="95"/>
                <w:sz w:val="20"/>
                <w:lang w:eastAsia="zh-CN"/>
              </w:rPr>
              <w:t>无</w:t>
            </w:r>
          </w:p>
        </w:tc>
      </w:tr>
    </w:tbl>
    <w:p>
      <w:pPr>
        <w:pStyle w:val="6"/>
        <w:keepNext w:val="0"/>
        <w:keepLines w:val="0"/>
        <w:widowControl/>
        <w:numPr>
          <w:ilvl w:val="0"/>
          <w:numId w:val="0"/>
        </w:numPr>
        <w:suppressLineNumbers w:val="0"/>
        <w:shd w:val="clear" w:fill="FFFFFF"/>
        <w:spacing w:before="0" w:beforeAutospacing="0" w:after="150" w:afterAutospacing="0" w:line="555" w:lineRule="atLeast"/>
        <w:ind w:right="0" w:rightChars="0"/>
        <w:jc w:val="both"/>
        <w:rPr>
          <w:rFonts w:hint="eastAsia" w:ascii="黑体" w:hAnsi="宋体" w:eastAsia="黑体" w:cs="黑体"/>
          <w:color w:val="333333"/>
          <w:spacing w:val="0"/>
          <w:sz w:val="31"/>
          <w:szCs w:val="31"/>
          <w:shd w:val="clear" w:fill="FFFFFF"/>
        </w:rPr>
      </w:pPr>
    </w:p>
    <w:p>
      <w:pPr>
        <w:pStyle w:val="6"/>
        <w:keepNext w:val="0"/>
        <w:keepLines w:val="0"/>
        <w:widowControl/>
        <w:numPr>
          <w:ilvl w:val="0"/>
          <w:numId w:val="0"/>
        </w:numPr>
        <w:suppressLineNumbers w:val="0"/>
        <w:shd w:val="clear" w:fill="FFFFFF"/>
        <w:spacing w:before="0" w:beforeAutospacing="0" w:after="150" w:afterAutospacing="0" w:line="555" w:lineRule="atLeast"/>
        <w:ind w:left="645" w:leftChars="0" w:right="0" w:rightChars="0"/>
        <w:jc w:val="both"/>
        <w:rPr>
          <w:rFonts w:hint="eastAsia" w:ascii="黑体" w:hAnsi="宋体" w:eastAsia="黑体" w:cs="黑体"/>
          <w:color w:val="333333"/>
          <w:spacing w:val="0"/>
          <w:sz w:val="32"/>
          <w:szCs w:val="32"/>
          <w:shd w:val="clear" w:fill="FFFFFF"/>
        </w:rPr>
      </w:pPr>
      <w:r>
        <w:rPr>
          <w:rFonts w:hint="eastAsia" w:ascii="黑体" w:hAnsi="宋体" w:eastAsia="黑体" w:cs="黑体"/>
          <w:color w:val="333333"/>
          <w:spacing w:val="0"/>
          <w:sz w:val="32"/>
          <w:szCs w:val="32"/>
          <w:shd w:val="clear" w:fill="FFFFFF"/>
          <w:lang w:eastAsia="zh-CN"/>
        </w:rPr>
        <w:t>三、</w:t>
      </w:r>
      <w:r>
        <w:rPr>
          <w:rFonts w:hint="eastAsia" w:ascii="黑体" w:hAnsi="宋体" w:eastAsia="黑体" w:cs="黑体"/>
          <w:color w:val="333333"/>
          <w:spacing w:val="0"/>
          <w:sz w:val="32"/>
          <w:szCs w:val="32"/>
          <w:shd w:val="clear" w:fill="FFFFFF"/>
        </w:rPr>
        <w:t>收到和处理政府信息公开申请情况</w:t>
      </w:r>
    </w:p>
    <w:tbl>
      <w:tblPr>
        <w:tblStyle w:val="7"/>
        <w:tblW w:w="97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4931" w:type="dxa"/>
            <w:gridSpan w:val="3"/>
            <w:vMerge w:val="restart"/>
            <w:shd w:val="clear" w:color="auto" w:fill="9AC1E5"/>
          </w:tcPr>
          <w:p>
            <w:pPr>
              <w:pStyle w:val="9"/>
              <w:rPr>
                <w:rFonts w:ascii="华文细黑"/>
                <w:sz w:val="22"/>
              </w:rPr>
            </w:pPr>
          </w:p>
          <w:p>
            <w:pPr>
              <w:pStyle w:val="9"/>
              <w:spacing w:before="178" w:line="292" w:lineRule="auto"/>
              <w:ind w:left="108" w:right="89"/>
              <w:rPr>
                <w:sz w:val="20"/>
              </w:rPr>
            </w:pPr>
            <w:r>
              <w:rPr>
                <w:w w:val="99"/>
                <w:sz w:val="20"/>
              </w:rPr>
              <w:t>（</w:t>
            </w:r>
            <w:r>
              <w:rPr>
                <w:spacing w:val="-6"/>
                <w:w w:val="99"/>
                <w:sz w:val="20"/>
              </w:rPr>
              <w:t>本列数据的勾稽关系为：第一项加第二项之和，等于</w:t>
            </w:r>
            <w:r>
              <w:rPr>
                <w:spacing w:val="-2"/>
                <w:w w:val="99"/>
                <w:sz w:val="20"/>
              </w:rPr>
              <w:t>第三项加第四项之和</w:t>
            </w:r>
            <w:r>
              <w:rPr>
                <w:w w:val="99"/>
                <w:sz w:val="20"/>
              </w:rPr>
              <w:t>）</w:t>
            </w:r>
          </w:p>
        </w:tc>
        <w:tc>
          <w:tcPr>
            <w:tcW w:w="4817" w:type="dxa"/>
            <w:gridSpan w:val="7"/>
            <w:shd w:val="clear" w:color="auto" w:fill="9AC1E5"/>
          </w:tcPr>
          <w:p>
            <w:pPr>
              <w:pStyle w:val="9"/>
              <w:spacing w:before="19"/>
              <w:ind w:left="1916" w:right="1901"/>
              <w:jc w:val="center"/>
              <w:rPr>
                <w:sz w:val="20"/>
              </w:rPr>
            </w:pPr>
            <w:r>
              <w:rPr>
                <w:w w:val="95"/>
                <w:sz w:val="20"/>
              </w:rPr>
              <w:t>申请人情</w:t>
            </w:r>
            <w:r>
              <w:rPr>
                <w:spacing w:val="-10"/>
                <w:w w:val="95"/>
                <w:sz w:val="20"/>
              </w:rPr>
              <w:t>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4931" w:type="dxa"/>
            <w:gridSpan w:val="3"/>
            <w:vMerge w:val="continue"/>
            <w:tcBorders>
              <w:top w:val="nil"/>
            </w:tcBorders>
            <w:shd w:val="clear" w:color="auto" w:fill="9AC1E5"/>
          </w:tcPr>
          <w:p>
            <w:pPr>
              <w:rPr>
                <w:sz w:val="2"/>
                <w:szCs w:val="2"/>
              </w:rPr>
            </w:pPr>
          </w:p>
        </w:tc>
        <w:tc>
          <w:tcPr>
            <w:tcW w:w="688" w:type="dxa"/>
            <w:vMerge w:val="restart"/>
            <w:shd w:val="clear" w:color="auto" w:fill="9AC1E5"/>
          </w:tcPr>
          <w:p>
            <w:pPr>
              <w:pStyle w:val="9"/>
              <w:spacing w:before="13"/>
              <w:rPr>
                <w:rFonts w:ascii="华文细黑"/>
                <w:sz w:val="20"/>
                <w:szCs w:val="20"/>
              </w:rPr>
            </w:pPr>
          </w:p>
          <w:p>
            <w:pPr>
              <w:pStyle w:val="9"/>
              <w:spacing w:before="1" w:line="292" w:lineRule="auto"/>
              <w:ind w:left="244" w:right="124" w:hanging="101"/>
              <w:rPr>
                <w:sz w:val="20"/>
                <w:szCs w:val="20"/>
              </w:rPr>
            </w:pPr>
            <w:r>
              <w:rPr>
                <w:spacing w:val="-6"/>
                <w:sz w:val="20"/>
                <w:szCs w:val="20"/>
              </w:rPr>
              <w:t>自然</w:t>
            </w:r>
            <w:r>
              <w:rPr>
                <w:spacing w:val="-10"/>
                <w:sz w:val="20"/>
                <w:szCs w:val="20"/>
              </w:rPr>
              <w:t>人</w:t>
            </w:r>
          </w:p>
        </w:tc>
        <w:tc>
          <w:tcPr>
            <w:tcW w:w="3440" w:type="dxa"/>
            <w:gridSpan w:val="5"/>
            <w:shd w:val="clear" w:color="auto" w:fill="9AC1E5"/>
          </w:tcPr>
          <w:p>
            <w:pPr>
              <w:pStyle w:val="9"/>
              <w:spacing w:before="21"/>
              <w:ind w:left="1020"/>
              <w:rPr>
                <w:sz w:val="20"/>
                <w:szCs w:val="20"/>
              </w:rPr>
            </w:pPr>
            <w:r>
              <w:rPr>
                <w:w w:val="95"/>
                <w:sz w:val="20"/>
                <w:szCs w:val="20"/>
              </w:rPr>
              <w:t>法人或其他组</w:t>
            </w:r>
            <w:r>
              <w:rPr>
                <w:spacing w:val="-10"/>
                <w:w w:val="95"/>
                <w:sz w:val="20"/>
                <w:szCs w:val="20"/>
              </w:rPr>
              <w:t>织</w:t>
            </w:r>
          </w:p>
        </w:tc>
        <w:tc>
          <w:tcPr>
            <w:tcW w:w="689" w:type="dxa"/>
            <w:vMerge w:val="restart"/>
            <w:shd w:val="clear" w:color="auto" w:fill="9AC1E5"/>
          </w:tcPr>
          <w:p>
            <w:pPr>
              <w:pStyle w:val="9"/>
              <w:rPr>
                <w:rFonts w:ascii="华文细黑"/>
                <w:sz w:val="20"/>
              </w:rPr>
            </w:pPr>
          </w:p>
          <w:p>
            <w:pPr>
              <w:pStyle w:val="9"/>
              <w:spacing w:before="5"/>
              <w:rPr>
                <w:rFonts w:ascii="华文细黑"/>
                <w:sz w:val="13"/>
              </w:rPr>
            </w:pPr>
          </w:p>
          <w:p>
            <w:pPr>
              <w:pStyle w:val="9"/>
              <w:ind w:left="143"/>
              <w:rPr>
                <w:sz w:val="20"/>
              </w:rPr>
            </w:pPr>
            <w:r>
              <w:rPr>
                <w:w w:val="95"/>
                <w:sz w:val="20"/>
              </w:rPr>
              <w:t>总</w:t>
            </w:r>
            <w:r>
              <w:rPr>
                <w:spacing w:val="-10"/>
                <w:sz w:val="20"/>
              </w:rPr>
              <w:t>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4931" w:type="dxa"/>
            <w:gridSpan w:val="3"/>
            <w:vMerge w:val="continue"/>
            <w:tcBorders>
              <w:top w:val="nil"/>
            </w:tcBorders>
            <w:shd w:val="clear" w:color="auto" w:fill="9AC1E5"/>
          </w:tcPr>
          <w:p>
            <w:pPr>
              <w:rPr>
                <w:sz w:val="2"/>
                <w:szCs w:val="2"/>
              </w:rPr>
            </w:pPr>
          </w:p>
        </w:tc>
        <w:tc>
          <w:tcPr>
            <w:tcW w:w="688" w:type="dxa"/>
            <w:vMerge w:val="continue"/>
            <w:tcBorders>
              <w:top w:val="nil"/>
            </w:tcBorders>
            <w:shd w:val="clear" w:color="auto" w:fill="9AC1E5"/>
          </w:tcPr>
          <w:p>
            <w:pPr>
              <w:rPr>
                <w:sz w:val="20"/>
                <w:szCs w:val="20"/>
              </w:rPr>
            </w:pPr>
          </w:p>
        </w:tc>
        <w:tc>
          <w:tcPr>
            <w:tcW w:w="688" w:type="dxa"/>
            <w:shd w:val="clear" w:color="auto" w:fill="9AC1E5"/>
          </w:tcPr>
          <w:p>
            <w:pPr>
              <w:pStyle w:val="9"/>
              <w:spacing w:before="176" w:line="292" w:lineRule="auto"/>
              <w:ind w:left="144" w:right="123"/>
              <w:rPr>
                <w:sz w:val="20"/>
                <w:szCs w:val="20"/>
              </w:rPr>
            </w:pPr>
            <w:r>
              <w:rPr>
                <w:spacing w:val="-6"/>
                <w:sz w:val="20"/>
                <w:szCs w:val="20"/>
              </w:rPr>
              <w:t>商业</w:t>
            </w:r>
            <w:r>
              <w:rPr>
                <w:w w:val="95"/>
                <w:sz w:val="20"/>
                <w:szCs w:val="20"/>
              </w:rPr>
              <w:t>企</w:t>
            </w:r>
            <w:r>
              <w:rPr>
                <w:spacing w:val="-10"/>
                <w:sz w:val="20"/>
                <w:szCs w:val="20"/>
              </w:rPr>
              <w:t>业</w:t>
            </w:r>
          </w:p>
        </w:tc>
        <w:tc>
          <w:tcPr>
            <w:tcW w:w="688" w:type="dxa"/>
            <w:shd w:val="clear" w:color="auto" w:fill="9AC1E5"/>
          </w:tcPr>
          <w:p>
            <w:pPr>
              <w:pStyle w:val="9"/>
              <w:spacing w:before="176" w:line="292" w:lineRule="auto"/>
              <w:ind w:left="142" w:right="125"/>
              <w:rPr>
                <w:sz w:val="20"/>
                <w:szCs w:val="20"/>
              </w:rPr>
            </w:pPr>
            <w:r>
              <w:rPr>
                <w:spacing w:val="-6"/>
                <w:sz w:val="20"/>
                <w:szCs w:val="20"/>
              </w:rPr>
              <w:t>科研</w:t>
            </w:r>
            <w:r>
              <w:rPr>
                <w:w w:val="95"/>
                <w:sz w:val="20"/>
                <w:szCs w:val="20"/>
              </w:rPr>
              <w:t>机</w:t>
            </w:r>
            <w:r>
              <w:rPr>
                <w:spacing w:val="-10"/>
                <w:sz w:val="20"/>
                <w:szCs w:val="20"/>
              </w:rPr>
              <w:t>构</w:t>
            </w:r>
          </w:p>
        </w:tc>
        <w:tc>
          <w:tcPr>
            <w:tcW w:w="688" w:type="dxa"/>
            <w:shd w:val="clear" w:color="auto" w:fill="9AC1E5"/>
          </w:tcPr>
          <w:p>
            <w:pPr>
              <w:pStyle w:val="9"/>
              <w:spacing w:before="20" w:line="292" w:lineRule="auto"/>
              <w:ind w:left="143" w:right="124"/>
              <w:rPr>
                <w:sz w:val="20"/>
                <w:szCs w:val="20"/>
              </w:rPr>
            </w:pPr>
            <w:r>
              <w:rPr>
                <w:spacing w:val="-6"/>
                <w:sz w:val="20"/>
                <w:szCs w:val="20"/>
              </w:rPr>
              <w:t>社会</w:t>
            </w:r>
            <w:r>
              <w:rPr>
                <w:w w:val="95"/>
                <w:sz w:val="20"/>
                <w:szCs w:val="20"/>
              </w:rPr>
              <w:t>公</w:t>
            </w:r>
            <w:r>
              <w:rPr>
                <w:spacing w:val="-10"/>
                <w:sz w:val="20"/>
                <w:szCs w:val="20"/>
              </w:rPr>
              <w:t>益</w:t>
            </w:r>
          </w:p>
          <w:p>
            <w:pPr>
              <w:pStyle w:val="9"/>
              <w:spacing w:line="255" w:lineRule="exact"/>
              <w:ind w:left="143"/>
              <w:rPr>
                <w:sz w:val="20"/>
                <w:szCs w:val="20"/>
              </w:rPr>
            </w:pPr>
            <w:r>
              <w:rPr>
                <w:w w:val="95"/>
                <w:sz w:val="20"/>
                <w:szCs w:val="20"/>
              </w:rPr>
              <w:t>组</w:t>
            </w:r>
            <w:r>
              <w:rPr>
                <w:spacing w:val="-10"/>
                <w:sz w:val="20"/>
                <w:szCs w:val="20"/>
              </w:rPr>
              <w:t>织</w:t>
            </w:r>
          </w:p>
        </w:tc>
        <w:tc>
          <w:tcPr>
            <w:tcW w:w="688" w:type="dxa"/>
            <w:shd w:val="clear" w:color="auto" w:fill="9AC1E5"/>
          </w:tcPr>
          <w:p>
            <w:pPr>
              <w:pStyle w:val="9"/>
              <w:spacing w:before="20" w:line="292" w:lineRule="auto"/>
              <w:ind w:left="144" w:right="123"/>
              <w:rPr>
                <w:sz w:val="20"/>
                <w:szCs w:val="20"/>
              </w:rPr>
            </w:pPr>
            <w:r>
              <w:rPr>
                <w:spacing w:val="-6"/>
                <w:sz w:val="20"/>
                <w:szCs w:val="20"/>
              </w:rPr>
              <w:t>法律</w:t>
            </w:r>
            <w:r>
              <w:rPr>
                <w:w w:val="95"/>
                <w:sz w:val="20"/>
                <w:szCs w:val="20"/>
              </w:rPr>
              <w:t>服</w:t>
            </w:r>
            <w:r>
              <w:rPr>
                <w:spacing w:val="-10"/>
                <w:sz w:val="20"/>
                <w:szCs w:val="20"/>
              </w:rPr>
              <w:t>务</w:t>
            </w:r>
          </w:p>
          <w:p>
            <w:pPr>
              <w:pStyle w:val="9"/>
              <w:spacing w:line="255" w:lineRule="exact"/>
              <w:ind w:left="144"/>
              <w:rPr>
                <w:sz w:val="20"/>
                <w:szCs w:val="20"/>
              </w:rPr>
            </w:pPr>
            <w:r>
              <w:rPr>
                <w:w w:val="95"/>
                <w:sz w:val="20"/>
                <w:szCs w:val="20"/>
              </w:rPr>
              <w:t>机</w:t>
            </w:r>
            <w:r>
              <w:rPr>
                <w:spacing w:val="-10"/>
                <w:sz w:val="20"/>
                <w:szCs w:val="20"/>
              </w:rPr>
              <w:t>构</w:t>
            </w:r>
          </w:p>
        </w:tc>
        <w:tc>
          <w:tcPr>
            <w:tcW w:w="688" w:type="dxa"/>
            <w:shd w:val="clear" w:color="auto" w:fill="9AC1E5"/>
          </w:tcPr>
          <w:p>
            <w:pPr>
              <w:pStyle w:val="9"/>
              <w:spacing w:before="3"/>
              <w:rPr>
                <w:rFonts w:ascii="华文细黑"/>
                <w:sz w:val="20"/>
                <w:szCs w:val="20"/>
              </w:rPr>
            </w:pPr>
          </w:p>
          <w:p>
            <w:pPr>
              <w:pStyle w:val="9"/>
              <w:ind w:left="142"/>
              <w:rPr>
                <w:sz w:val="20"/>
                <w:szCs w:val="20"/>
              </w:rPr>
            </w:pPr>
            <w:r>
              <w:rPr>
                <w:w w:val="95"/>
                <w:sz w:val="20"/>
                <w:szCs w:val="20"/>
              </w:rPr>
              <w:t>其</w:t>
            </w:r>
            <w:r>
              <w:rPr>
                <w:spacing w:val="-10"/>
                <w:sz w:val="20"/>
                <w:szCs w:val="20"/>
              </w:rPr>
              <w:t>他</w:t>
            </w:r>
          </w:p>
        </w:tc>
        <w:tc>
          <w:tcPr>
            <w:tcW w:w="689" w:type="dxa"/>
            <w:vMerge w:val="continue"/>
            <w:tcBorders>
              <w:top w:val="nil"/>
            </w:tcBorders>
            <w:shd w:val="clear" w:color="auto" w:fill="9AC1E5"/>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4931" w:type="dxa"/>
            <w:gridSpan w:val="3"/>
            <w:shd w:val="clear" w:color="auto" w:fill="BDD7ED"/>
          </w:tcPr>
          <w:p>
            <w:pPr>
              <w:pStyle w:val="9"/>
              <w:spacing w:before="19"/>
              <w:ind w:left="55"/>
              <w:rPr>
                <w:sz w:val="20"/>
              </w:rPr>
            </w:pPr>
            <w:r>
              <w:rPr>
                <w:w w:val="95"/>
                <w:sz w:val="20"/>
              </w:rPr>
              <w:t>一、本年新收政府信息公开申请数</w:t>
            </w:r>
            <w:r>
              <w:rPr>
                <w:spacing w:val="-10"/>
                <w:w w:val="95"/>
                <w:sz w:val="20"/>
              </w:rPr>
              <w:t>量</w:t>
            </w:r>
          </w:p>
        </w:tc>
        <w:tc>
          <w:tcPr>
            <w:tcW w:w="688" w:type="dxa"/>
            <w:vAlign w:val="center"/>
          </w:tcPr>
          <w:p>
            <w:pPr>
              <w:pStyle w:val="9"/>
              <w:jc w:val="center"/>
              <w:rPr>
                <w:rFonts w:hint="eastAsia" w:ascii="Times New Roman" w:eastAsia="宋体"/>
                <w:sz w:val="20"/>
                <w:lang w:val="en-US" w:eastAsia="zh-CN"/>
              </w:rPr>
            </w:pPr>
            <w:r>
              <w:rPr>
                <w:rFonts w:hint="eastAsia" w:ascii="Times New Roman"/>
                <w:color w:val="auto"/>
                <w:sz w:val="20"/>
                <w:lang w:val="en-US" w:eastAsia="zh-CN"/>
              </w:rPr>
              <w:t>2</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9" w:type="dxa"/>
            <w:vAlign w:val="center"/>
          </w:tcPr>
          <w:p>
            <w:pPr>
              <w:pStyle w:val="9"/>
              <w:jc w:val="center"/>
              <w:rPr>
                <w:rFonts w:hint="eastAsia" w:ascii="Times New Roman" w:eastAsia="宋体"/>
                <w:sz w:val="20"/>
                <w:lang w:val="en-US" w:eastAsia="zh-CN"/>
              </w:rPr>
            </w:pPr>
            <w:r>
              <w:rPr>
                <w:rFonts w:hint="eastAsia" w:ascii="Times New Roman"/>
                <w:color w:val="auto"/>
                <w:sz w:val="20"/>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4931" w:type="dxa"/>
            <w:gridSpan w:val="3"/>
            <w:shd w:val="clear" w:color="auto" w:fill="BDD7ED"/>
          </w:tcPr>
          <w:p>
            <w:pPr>
              <w:pStyle w:val="9"/>
              <w:spacing w:before="21"/>
              <w:ind w:left="55"/>
              <w:rPr>
                <w:sz w:val="20"/>
              </w:rPr>
            </w:pPr>
            <w:r>
              <w:rPr>
                <w:w w:val="95"/>
                <w:sz w:val="20"/>
              </w:rPr>
              <w:t>二、上年结转政府信息公开申请数</w:t>
            </w:r>
            <w:r>
              <w:rPr>
                <w:spacing w:val="-10"/>
                <w:w w:val="95"/>
                <w:sz w:val="20"/>
              </w:rPr>
              <w:t>量</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9"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restart"/>
            <w:shd w:val="clear" w:color="auto" w:fill="BDD7ED"/>
          </w:tcPr>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spacing w:before="7"/>
              <w:rPr>
                <w:rFonts w:ascii="华文细黑"/>
                <w:sz w:val="21"/>
              </w:rPr>
            </w:pPr>
          </w:p>
          <w:p>
            <w:pPr>
              <w:pStyle w:val="9"/>
              <w:spacing w:line="292" w:lineRule="auto"/>
              <w:ind w:left="55" w:right="90"/>
              <w:jc w:val="both"/>
              <w:rPr>
                <w:sz w:val="20"/>
              </w:rPr>
            </w:pPr>
            <w:r>
              <w:rPr>
                <w:spacing w:val="-4"/>
                <w:sz w:val="20"/>
              </w:rPr>
              <w:t>三、本年度办</w:t>
            </w:r>
            <w:r>
              <w:rPr>
                <w:spacing w:val="-4"/>
                <w:w w:val="95"/>
                <w:sz w:val="20"/>
              </w:rPr>
              <w:t>理结果</w:t>
            </w:r>
          </w:p>
        </w:tc>
        <w:tc>
          <w:tcPr>
            <w:tcW w:w="4163" w:type="dxa"/>
            <w:gridSpan w:val="2"/>
            <w:shd w:val="clear" w:color="auto" w:fill="DDEBF7"/>
          </w:tcPr>
          <w:p>
            <w:pPr>
              <w:pStyle w:val="9"/>
              <w:spacing w:before="20"/>
              <w:ind w:left="55"/>
              <w:rPr>
                <w:sz w:val="20"/>
              </w:rPr>
            </w:pPr>
            <w:r>
              <w:rPr>
                <w:w w:val="95"/>
                <w:sz w:val="20"/>
              </w:rPr>
              <w:t>（一）予以公</w:t>
            </w:r>
            <w:r>
              <w:rPr>
                <w:spacing w:val="-10"/>
                <w:w w:val="95"/>
                <w:sz w:val="20"/>
              </w:rPr>
              <w:t>开</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768" w:type="dxa"/>
            <w:vMerge w:val="continue"/>
            <w:tcBorders>
              <w:top w:val="nil"/>
            </w:tcBorders>
            <w:shd w:val="clear" w:color="auto" w:fill="BDD7ED"/>
          </w:tcPr>
          <w:p>
            <w:pPr>
              <w:rPr>
                <w:sz w:val="2"/>
                <w:szCs w:val="2"/>
              </w:rPr>
            </w:pPr>
          </w:p>
        </w:tc>
        <w:tc>
          <w:tcPr>
            <w:tcW w:w="4163" w:type="dxa"/>
            <w:gridSpan w:val="2"/>
            <w:shd w:val="clear" w:color="auto" w:fill="DDEBF7"/>
          </w:tcPr>
          <w:p>
            <w:pPr>
              <w:pStyle w:val="9"/>
              <w:spacing w:before="19"/>
              <w:ind w:left="55" w:right="-72"/>
              <w:rPr>
                <w:sz w:val="20"/>
              </w:rPr>
            </w:pPr>
            <w:r>
              <w:rPr>
                <w:w w:val="95"/>
                <w:sz w:val="20"/>
              </w:rPr>
              <w:t>（二）部分公开（区分处理的，只计这一情形</w:t>
            </w:r>
            <w:r>
              <w:rPr>
                <w:spacing w:val="-10"/>
                <w:w w:val="95"/>
                <w:sz w:val="20"/>
              </w:rPr>
              <w:t>，</w:t>
            </w:r>
          </w:p>
          <w:p>
            <w:pPr>
              <w:pStyle w:val="9"/>
              <w:spacing w:before="54"/>
              <w:ind w:left="55"/>
              <w:rPr>
                <w:sz w:val="20"/>
              </w:rPr>
            </w:pPr>
            <w:r>
              <w:rPr>
                <w:w w:val="95"/>
                <w:sz w:val="20"/>
              </w:rPr>
              <w:t>不计其他情形</w:t>
            </w:r>
            <w:r>
              <w:rPr>
                <w:spacing w:val="-10"/>
                <w:w w:val="95"/>
                <w:sz w:val="20"/>
              </w:rPr>
              <w:t>）</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restart"/>
            <w:shd w:val="clear" w:color="auto" w:fill="DDEBF7"/>
            <w:vAlign w:val="center"/>
          </w:tcPr>
          <w:p>
            <w:pPr>
              <w:pStyle w:val="9"/>
              <w:spacing w:before="10"/>
              <w:jc w:val="both"/>
              <w:rPr>
                <w:rFonts w:ascii="华文细黑"/>
                <w:sz w:val="28"/>
              </w:rPr>
            </w:pPr>
          </w:p>
          <w:p>
            <w:pPr>
              <w:pStyle w:val="9"/>
              <w:spacing w:line="292" w:lineRule="auto"/>
              <w:ind w:left="55" w:right="66"/>
              <w:jc w:val="center"/>
              <w:rPr>
                <w:sz w:val="20"/>
              </w:rPr>
            </w:pPr>
            <w:r>
              <w:rPr>
                <w:rFonts w:ascii="宋体" w:hAnsi="宋体" w:eastAsia="宋体" w:cs="宋体"/>
                <w:w w:val="95"/>
                <w:sz w:val="20"/>
              </w:rPr>
              <w:t>（三）不予公开</w:t>
            </w:r>
          </w:p>
        </w:tc>
        <w:tc>
          <w:tcPr>
            <w:tcW w:w="3220" w:type="dxa"/>
            <w:shd w:val="clear" w:color="auto" w:fill="DDEBF7"/>
          </w:tcPr>
          <w:p>
            <w:pPr>
              <w:pStyle w:val="9"/>
              <w:spacing w:before="21"/>
              <w:ind w:left="56"/>
              <w:rPr>
                <w:sz w:val="20"/>
              </w:rPr>
            </w:pPr>
            <w:r>
              <w:rPr>
                <w:w w:val="95"/>
                <w:sz w:val="20"/>
              </w:rPr>
              <w:t>1.属于国家</w:t>
            </w:r>
            <w:r>
              <w:rPr>
                <w:spacing w:val="-5"/>
                <w:w w:val="95"/>
                <w:sz w:val="20"/>
              </w:rPr>
              <w:t>秘密</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ind w:left="56"/>
              <w:rPr>
                <w:sz w:val="20"/>
              </w:rPr>
            </w:pPr>
            <w:r>
              <w:rPr>
                <w:w w:val="95"/>
                <w:sz w:val="20"/>
              </w:rPr>
              <w:t>2.其他法律行政法规禁止</w:t>
            </w:r>
            <w:r>
              <w:rPr>
                <w:spacing w:val="-5"/>
                <w:w w:val="95"/>
                <w:sz w:val="20"/>
              </w:rPr>
              <w:t>公开</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19"/>
              <w:ind w:left="56"/>
              <w:rPr>
                <w:sz w:val="20"/>
              </w:rPr>
            </w:pPr>
            <w:r>
              <w:rPr>
                <w:w w:val="95"/>
                <w:sz w:val="20"/>
              </w:rPr>
              <w:t>3.危及“三安全一稳定</w:t>
            </w:r>
            <w:r>
              <w:rPr>
                <w:spacing w:val="-10"/>
                <w:w w:val="95"/>
                <w:sz w:val="20"/>
              </w:rPr>
              <w:t>”</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1"/>
              <w:ind w:left="56"/>
              <w:rPr>
                <w:sz w:val="20"/>
              </w:rPr>
            </w:pPr>
            <w:r>
              <w:rPr>
                <w:w w:val="95"/>
                <w:sz w:val="20"/>
              </w:rPr>
              <w:t>4.保护第三方合法</w:t>
            </w:r>
            <w:r>
              <w:rPr>
                <w:spacing w:val="-5"/>
                <w:w w:val="95"/>
                <w:sz w:val="20"/>
              </w:rPr>
              <w:t>权益</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ind w:left="56"/>
              <w:rPr>
                <w:sz w:val="20"/>
              </w:rPr>
            </w:pPr>
            <w:r>
              <w:rPr>
                <w:w w:val="95"/>
                <w:sz w:val="20"/>
              </w:rPr>
              <w:t>5.属于三类内部事务信</w:t>
            </w:r>
            <w:r>
              <w:rPr>
                <w:spacing w:val="-10"/>
                <w:w w:val="95"/>
                <w:sz w:val="20"/>
              </w:rPr>
              <w:t>息</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19"/>
              <w:ind w:left="56"/>
              <w:rPr>
                <w:sz w:val="20"/>
              </w:rPr>
            </w:pPr>
            <w:r>
              <w:rPr>
                <w:w w:val="95"/>
                <w:sz w:val="20"/>
              </w:rPr>
              <w:t>6.属于四类过程性</w:t>
            </w:r>
            <w:r>
              <w:rPr>
                <w:spacing w:val="-5"/>
                <w:w w:val="95"/>
                <w:sz w:val="20"/>
              </w:rPr>
              <w:t>信息</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1"/>
              <w:ind w:left="56"/>
              <w:rPr>
                <w:sz w:val="20"/>
              </w:rPr>
            </w:pPr>
            <w:r>
              <w:rPr>
                <w:w w:val="95"/>
                <w:sz w:val="20"/>
              </w:rPr>
              <w:t>7.属于行政执法案</w:t>
            </w:r>
            <w:r>
              <w:rPr>
                <w:spacing w:val="-10"/>
                <w:w w:val="95"/>
                <w:sz w:val="20"/>
              </w:rPr>
              <w:t>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ind w:left="56"/>
              <w:rPr>
                <w:sz w:val="20"/>
              </w:rPr>
            </w:pPr>
            <w:r>
              <w:rPr>
                <w:w w:val="95"/>
                <w:sz w:val="20"/>
              </w:rPr>
              <w:t>8.属于行政查询事</w:t>
            </w:r>
            <w:r>
              <w:rPr>
                <w:spacing w:val="-10"/>
                <w:w w:val="95"/>
                <w:sz w:val="20"/>
              </w:rPr>
              <w:t>项</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restart"/>
            <w:shd w:val="clear" w:color="auto" w:fill="DDEBF7"/>
          </w:tcPr>
          <w:p>
            <w:pPr>
              <w:pStyle w:val="9"/>
              <w:spacing w:before="2"/>
              <w:rPr>
                <w:rFonts w:ascii="华文细黑"/>
                <w:sz w:val="13"/>
              </w:rPr>
            </w:pPr>
          </w:p>
          <w:p>
            <w:pPr>
              <w:pStyle w:val="9"/>
              <w:spacing w:before="1" w:line="292" w:lineRule="auto"/>
              <w:ind w:left="55" w:right="66"/>
              <w:rPr>
                <w:sz w:val="20"/>
              </w:rPr>
            </w:pPr>
            <w:r>
              <w:rPr>
                <w:rFonts w:ascii="宋体" w:hAnsi="宋体" w:eastAsia="宋体" w:cs="宋体"/>
                <w:w w:val="95"/>
                <w:sz w:val="20"/>
              </w:rPr>
              <w:t>（四）无法提供</w:t>
            </w:r>
          </w:p>
        </w:tc>
        <w:tc>
          <w:tcPr>
            <w:tcW w:w="3220" w:type="dxa"/>
            <w:shd w:val="clear" w:color="auto" w:fill="DDEBF7"/>
          </w:tcPr>
          <w:p>
            <w:pPr>
              <w:pStyle w:val="9"/>
              <w:spacing w:before="19"/>
              <w:ind w:left="56"/>
              <w:rPr>
                <w:sz w:val="20"/>
              </w:rPr>
            </w:pPr>
            <w:r>
              <w:rPr>
                <w:w w:val="95"/>
                <w:sz w:val="20"/>
              </w:rPr>
              <w:t>1.本机关不掌握相关政府</w:t>
            </w:r>
            <w:r>
              <w:rPr>
                <w:spacing w:val="-5"/>
                <w:w w:val="95"/>
                <w:sz w:val="20"/>
              </w:rPr>
              <w:t>信息</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color w:val="auto"/>
                <w:sz w:val="20"/>
                <w:lang w:val="en-US" w:eastAsia="zh-CN"/>
              </w:rPr>
              <w:t>1</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bookmarkStart w:id="0" w:name="_GoBack"/>
            <w:r>
              <w:rPr>
                <w:rFonts w:hint="eastAsia" w:ascii="Times New Roman"/>
                <w:color w:val="auto"/>
                <w:sz w:val="20"/>
                <w:lang w:val="en-US" w:eastAsia="zh-CN"/>
              </w:rPr>
              <w:t>1</w:t>
            </w:r>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1"/>
              <w:ind w:left="56"/>
              <w:rPr>
                <w:sz w:val="20"/>
              </w:rPr>
            </w:pPr>
            <w:r>
              <w:rPr>
                <w:w w:val="95"/>
                <w:sz w:val="20"/>
              </w:rPr>
              <w:t>2.没有现成信息需要另行</w:t>
            </w:r>
            <w:r>
              <w:rPr>
                <w:spacing w:val="-5"/>
                <w:w w:val="95"/>
                <w:sz w:val="20"/>
              </w:rPr>
              <w:t>制作</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ind w:left="56"/>
              <w:rPr>
                <w:sz w:val="20"/>
              </w:rPr>
            </w:pPr>
            <w:r>
              <w:rPr>
                <w:w w:val="95"/>
                <w:sz w:val="20"/>
              </w:rPr>
              <w:t>3.补正后申请内容仍不明</w:t>
            </w:r>
            <w:r>
              <w:rPr>
                <w:spacing w:val="-10"/>
                <w:w w:val="95"/>
                <w:sz w:val="20"/>
              </w:rPr>
              <w:t>确</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restart"/>
            <w:shd w:val="clear" w:color="auto" w:fill="DDEBF7"/>
          </w:tcPr>
          <w:p>
            <w:pPr>
              <w:pStyle w:val="9"/>
              <w:spacing w:before="19"/>
              <w:ind w:left="56"/>
              <w:rPr>
                <w:rFonts w:ascii="宋体" w:hAnsi="宋体" w:eastAsia="宋体" w:cs="宋体"/>
                <w:w w:val="95"/>
                <w:sz w:val="20"/>
              </w:rPr>
            </w:pPr>
          </w:p>
          <w:p>
            <w:pPr>
              <w:pStyle w:val="9"/>
              <w:spacing w:before="19"/>
              <w:ind w:left="56"/>
              <w:rPr>
                <w:rFonts w:ascii="宋体" w:hAnsi="宋体" w:eastAsia="宋体" w:cs="宋体"/>
                <w:w w:val="95"/>
                <w:sz w:val="20"/>
              </w:rPr>
            </w:pPr>
          </w:p>
          <w:p>
            <w:pPr>
              <w:pStyle w:val="9"/>
              <w:spacing w:before="19"/>
              <w:ind w:left="56"/>
              <w:rPr>
                <w:rFonts w:ascii="宋体" w:hAnsi="宋体" w:eastAsia="宋体" w:cs="宋体"/>
                <w:w w:val="95"/>
                <w:sz w:val="20"/>
              </w:rPr>
            </w:pPr>
            <w:r>
              <w:rPr>
                <w:rFonts w:ascii="宋体" w:hAnsi="宋体" w:eastAsia="宋体" w:cs="宋体"/>
                <w:w w:val="95"/>
                <w:sz w:val="20"/>
              </w:rPr>
              <w:t>（五）不予处理</w:t>
            </w:r>
          </w:p>
        </w:tc>
        <w:tc>
          <w:tcPr>
            <w:tcW w:w="3220" w:type="dxa"/>
            <w:shd w:val="clear" w:color="auto" w:fill="DDEBF7"/>
          </w:tcPr>
          <w:p>
            <w:pPr>
              <w:pStyle w:val="9"/>
              <w:spacing w:before="19"/>
              <w:ind w:left="56"/>
              <w:rPr>
                <w:rFonts w:ascii="宋体" w:hAnsi="宋体" w:eastAsia="宋体" w:cs="宋体"/>
                <w:w w:val="95"/>
                <w:sz w:val="20"/>
              </w:rPr>
            </w:pPr>
            <w:r>
              <w:rPr>
                <w:rFonts w:ascii="宋体" w:hAnsi="宋体" w:eastAsia="宋体" w:cs="宋体"/>
                <w:w w:val="95"/>
                <w:sz w:val="20"/>
              </w:rPr>
              <w:t>1.信访举报投诉类申请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pStyle w:val="9"/>
              <w:spacing w:before="19"/>
              <w:ind w:left="56"/>
              <w:rPr>
                <w:rFonts w:ascii="宋体" w:hAnsi="宋体" w:eastAsia="宋体" w:cs="宋体"/>
                <w:w w:val="95"/>
                <w:sz w:val="20"/>
              </w:rPr>
            </w:pPr>
          </w:p>
        </w:tc>
        <w:tc>
          <w:tcPr>
            <w:tcW w:w="3220" w:type="dxa"/>
            <w:shd w:val="clear" w:color="auto" w:fill="DDEBF7"/>
          </w:tcPr>
          <w:p>
            <w:pPr>
              <w:pStyle w:val="9"/>
              <w:spacing w:before="19"/>
              <w:ind w:left="56"/>
              <w:rPr>
                <w:rFonts w:ascii="宋体" w:hAnsi="宋体" w:eastAsia="宋体" w:cs="宋体"/>
                <w:w w:val="95"/>
                <w:sz w:val="20"/>
              </w:rPr>
            </w:pPr>
            <w:r>
              <w:rPr>
                <w:rFonts w:ascii="宋体" w:hAnsi="宋体" w:eastAsia="宋体" w:cs="宋体"/>
                <w:w w:val="95"/>
                <w:sz w:val="20"/>
              </w:rPr>
              <w:t>2.重复申请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pStyle w:val="9"/>
              <w:spacing w:before="19"/>
              <w:ind w:left="56"/>
              <w:rPr>
                <w:rFonts w:ascii="宋体" w:hAnsi="宋体" w:eastAsia="宋体" w:cs="宋体"/>
                <w:w w:val="95"/>
                <w:sz w:val="20"/>
              </w:rPr>
            </w:pPr>
          </w:p>
        </w:tc>
        <w:tc>
          <w:tcPr>
            <w:tcW w:w="3220" w:type="dxa"/>
            <w:shd w:val="clear" w:color="auto" w:fill="DDEBF7"/>
          </w:tcPr>
          <w:p>
            <w:pPr>
              <w:pStyle w:val="9"/>
              <w:spacing w:before="19"/>
              <w:ind w:left="56"/>
              <w:rPr>
                <w:rFonts w:ascii="宋体" w:hAnsi="宋体" w:eastAsia="宋体" w:cs="宋体"/>
                <w:w w:val="95"/>
                <w:sz w:val="20"/>
              </w:rPr>
            </w:pPr>
            <w:r>
              <w:rPr>
                <w:rFonts w:ascii="宋体" w:hAnsi="宋体" w:eastAsia="宋体" w:cs="宋体"/>
                <w:w w:val="95"/>
                <w:sz w:val="20"/>
              </w:rPr>
              <w:t>3.要求提供公开出版物</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pStyle w:val="9"/>
              <w:spacing w:before="19"/>
              <w:ind w:left="56"/>
              <w:rPr>
                <w:rFonts w:ascii="宋体" w:hAnsi="宋体" w:eastAsia="宋体" w:cs="宋体"/>
                <w:w w:val="95"/>
                <w:sz w:val="20"/>
              </w:rPr>
            </w:pPr>
          </w:p>
        </w:tc>
        <w:tc>
          <w:tcPr>
            <w:tcW w:w="3220" w:type="dxa"/>
            <w:shd w:val="clear" w:color="auto" w:fill="DDEBF7"/>
          </w:tcPr>
          <w:p>
            <w:pPr>
              <w:pStyle w:val="9"/>
              <w:spacing w:before="19"/>
              <w:ind w:left="56"/>
              <w:rPr>
                <w:rFonts w:ascii="宋体" w:hAnsi="宋体" w:eastAsia="宋体" w:cs="宋体"/>
                <w:w w:val="95"/>
                <w:sz w:val="20"/>
              </w:rPr>
            </w:pPr>
            <w:r>
              <w:rPr>
                <w:rFonts w:ascii="宋体" w:hAnsi="宋体" w:eastAsia="宋体" w:cs="宋体"/>
                <w:w w:val="95"/>
                <w:sz w:val="20"/>
              </w:rPr>
              <w:t>4.无正当理由大量反复申请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8"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pStyle w:val="9"/>
              <w:spacing w:before="19"/>
              <w:ind w:left="56"/>
              <w:rPr>
                <w:rFonts w:ascii="宋体" w:hAnsi="宋体" w:eastAsia="宋体" w:cs="宋体"/>
                <w:w w:val="95"/>
                <w:sz w:val="20"/>
              </w:rPr>
            </w:pPr>
          </w:p>
        </w:tc>
        <w:tc>
          <w:tcPr>
            <w:tcW w:w="3220" w:type="dxa"/>
            <w:shd w:val="clear" w:color="auto" w:fill="DDEBF7"/>
          </w:tcPr>
          <w:p>
            <w:pPr>
              <w:pStyle w:val="9"/>
              <w:spacing w:before="19"/>
              <w:ind w:left="56"/>
              <w:rPr>
                <w:rFonts w:ascii="宋体" w:hAnsi="宋体" w:eastAsia="宋体" w:cs="宋体"/>
                <w:w w:val="95"/>
                <w:sz w:val="20"/>
              </w:rPr>
            </w:pPr>
            <w:r>
              <w:rPr>
                <w:rFonts w:ascii="宋体" w:hAnsi="宋体" w:eastAsia="宋体" w:cs="宋体"/>
                <w:w w:val="95"/>
                <w:sz w:val="20"/>
              </w:rPr>
              <w:t>5.要求行政机关确认或重新出具已获取信息</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768" w:type="dxa"/>
            <w:vMerge w:val="continue"/>
            <w:tcBorders>
              <w:top w:val="nil"/>
            </w:tcBorders>
            <w:shd w:val="clear" w:color="auto" w:fill="BDD7ED"/>
          </w:tcPr>
          <w:p>
            <w:pPr>
              <w:rPr>
                <w:sz w:val="2"/>
                <w:szCs w:val="2"/>
              </w:rPr>
            </w:pPr>
          </w:p>
        </w:tc>
        <w:tc>
          <w:tcPr>
            <w:tcW w:w="943" w:type="dxa"/>
            <w:vMerge w:val="restart"/>
            <w:shd w:val="clear" w:color="auto" w:fill="DDEBF7"/>
            <w:vAlign w:val="center"/>
          </w:tcPr>
          <w:p>
            <w:pPr>
              <w:pStyle w:val="9"/>
              <w:spacing w:before="13"/>
              <w:jc w:val="both"/>
              <w:rPr>
                <w:rFonts w:ascii="华文细黑"/>
                <w:sz w:val="14"/>
              </w:rPr>
            </w:pPr>
          </w:p>
          <w:p>
            <w:pPr>
              <w:pStyle w:val="9"/>
              <w:spacing w:line="292" w:lineRule="auto"/>
              <w:ind w:left="55" w:right="66"/>
              <w:jc w:val="center"/>
              <w:rPr>
                <w:sz w:val="20"/>
              </w:rPr>
            </w:pPr>
            <w:r>
              <w:rPr>
                <w:rFonts w:ascii="宋体" w:hAnsi="宋体" w:eastAsia="宋体" w:cs="宋体"/>
                <w:w w:val="95"/>
                <w:sz w:val="20"/>
              </w:rPr>
              <w:t>（六）其他处理</w:t>
            </w:r>
          </w:p>
        </w:tc>
        <w:tc>
          <w:tcPr>
            <w:tcW w:w="3220" w:type="dxa"/>
            <w:shd w:val="clear" w:color="auto" w:fill="DDEBF7"/>
          </w:tcPr>
          <w:p>
            <w:pPr>
              <w:pStyle w:val="9"/>
              <w:spacing w:before="21"/>
              <w:ind w:left="56"/>
              <w:rPr>
                <w:sz w:val="20"/>
              </w:rPr>
            </w:pPr>
            <w:r>
              <w:rPr>
                <w:w w:val="95"/>
                <w:sz w:val="20"/>
              </w:rPr>
              <w:t>1.申请人无正当理由逾期不补正</w:t>
            </w:r>
            <w:r>
              <w:rPr>
                <w:spacing w:val="-5"/>
                <w:w w:val="95"/>
                <w:sz w:val="20"/>
              </w:rPr>
              <w:t>、行</w:t>
            </w:r>
          </w:p>
          <w:p>
            <w:pPr>
              <w:pStyle w:val="9"/>
              <w:spacing w:before="2" w:line="310" w:lineRule="atLeast"/>
              <w:ind w:left="56" w:right="36"/>
              <w:rPr>
                <w:sz w:val="20"/>
              </w:rPr>
            </w:pPr>
            <w:r>
              <w:rPr>
                <w:spacing w:val="6"/>
                <w:w w:val="99"/>
                <w:sz w:val="20"/>
              </w:rPr>
              <w:t>政机关不再处理其政府信息公开申请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1</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line="292" w:lineRule="auto"/>
              <w:ind w:left="56" w:right="36"/>
              <w:rPr>
                <w:rFonts w:ascii="宋体" w:hAnsi="宋体" w:eastAsia="宋体" w:cs="宋体"/>
                <w:w w:val="95"/>
                <w:sz w:val="20"/>
              </w:rPr>
            </w:pPr>
            <w:r>
              <w:rPr>
                <w:rFonts w:ascii="宋体" w:hAnsi="宋体" w:eastAsia="宋体" w:cs="宋体"/>
                <w:w w:val="95"/>
                <w:sz w:val="20"/>
              </w:rPr>
              <w:t>2.申请人逾期未按收费通知要求缴纳费用、行政机关不再处理其政府信</w:t>
            </w:r>
          </w:p>
          <w:p>
            <w:pPr>
              <w:pStyle w:val="9"/>
              <w:spacing w:before="20" w:line="292" w:lineRule="auto"/>
              <w:ind w:left="56" w:right="36"/>
              <w:rPr>
                <w:sz w:val="20"/>
              </w:rPr>
            </w:pPr>
            <w:r>
              <w:rPr>
                <w:rFonts w:ascii="宋体" w:hAnsi="宋体" w:eastAsia="宋体" w:cs="宋体"/>
                <w:w w:val="95"/>
                <w:sz w:val="20"/>
              </w:rPr>
              <w:t>息公开申请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ind w:left="56"/>
              <w:rPr>
                <w:sz w:val="20"/>
              </w:rPr>
            </w:pPr>
            <w:r>
              <w:rPr>
                <w:spacing w:val="-12"/>
                <w:w w:val="95"/>
                <w:sz w:val="20"/>
              </w:rPr>
              <w:t>3.其他</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768" w:type="dxa"/>
            <w:vMerge w:val="continue"/>
            <w:tcBorders>
              <w:top w:val="nil"/>
            </w:tcBorders>
            <w:shd w:val="clear" w:color="auto" w:fill="BDD7ED"/>
          </w:tcPr>
          <w:p>
            <w:pPr>
              <w:rPr>
                <w:sz w:val="2"/>
                <w:szCs w:val="2"/>
              </w:rPr>
            </w:pPr>
          </w:p>
        </w:tc>
        <w:tc>
          <w:tcPr>
            <w:tcW w:w="4163" w:type="dxa"/>
            <w:gridSpan w:val="2"/>
            <w:shd w:val="clear" w:color="auto" w:fill="DDEBF7"/>
          </w:tcPr>
          <w:p>
            <w:pPr>
              <w:pStyle w:val="9"/>
              <w:spacing w:before="21"/>
              <w:ind w:left="55"/>
              <w:rPr>
                <w:sz w:val="20"/>
              </w:rPr>
            </w:pPr>
            <w:r>
              <w:rPr>
                <w:w w:val="95"/>
                <w:sz w:val="20"/>
              </w:rPr>
              <w:t>（七）总</w:t>
            </w:r>
            <w:r>
              <w:rPr>
                <w:spacing w:val="-10"/>
                <w:w w:val="95"/>
                <w:sz w:val="20"/>
              </w:rPr>
              <w:t>计</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4931" w:type="dxa"/>
            <w:gridSpan w:val="3"/>
            <w:shd w:val="clear" w:color="auto" w:fill="BDD7ED"/>
          </w:tcPr>
          <w:p>
            <w:pPr>
              <w:pStyle w:val="9"/>
              <w:spacing w:before="176"/>
              <w:ind w:left="55"/>
              <w:rPr>
                <w:sz w:val="20"/>
              </w:rPr>
            </w:pPr>
            <w:r>
              <w:rPr>
                <w:w w:val="95"/>
                <w:sz w:val="20"/>
              </w:rPr>
              <w:t>四、结转下年度继续办</w:t>
            </w:r>
            <w:r>
              <w:rPr>
                <w:spacing w:val="-10"/>
                <w:w w:val="95"/>
                <w:sz w:val="20"/>
              </w:rPr>
              <w:t>理</w:t>
            </w:r>
          </w:p>
        </w:tc>
        <w:tc>
          <w:tcPr>
            <w:tcW w:w="688" w:type="dxa"/>
            <w:tcBorders>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bl>
    <w:p>
      <w:pPr>
        <w:pStyle w:val="6"/>
        <w:keepNext w:val="0"/>
        <w:keepLines w:val="0"/>
        <w:widowControl/>
        <w:numPr>
          <w:ilvl w:val="0"/>
          <w:numId w:val="0"/>
        </w:numPr>
        <w:suppressLineNumbers w:val="0"/>
        <w:shd w:val="clear" w:fill="FFFFFF"/>
        <w:spacing w:before="0" w:beforeAutospacing="0" w:after="150" w:afterAutospacing="0" w:line="555" w:lineRule="atLeast"/>
        <w:ind w:left="645" w:leftChars="0" w:right="0" w:rightChars="0"/>
        <w:jc w:val="both"/>
        <w:rPr>
          <w:rFonts w:hint="eastAsia" w:ascii="黑体" w:hAnsi="宋体" w:eastAsia="黑体" w:cs="黑体"/>
          <w:color w:val="333333"/>
          <w:spacing w:val="0"/>
          <w:sz w:val="31"/>
          <w:szCs w:val="31"/>
          <w:shd w:val="clear" w:fill="FFFFFF"/>
        </w:rPr>
      </w:pPr>
    </w:p>
    <w:p>
      <w:pPr>
        <w:pStyle w:val="6"/>
        <w:keepNext w:val="0"/>
        <w:keepLines w:val="0"/>
        <w:widowControl/>
        <w:suppressLineNumbers w:val="0"/>
        <w:shd w:val="clear" w:fill="FFFFFF"/>
        <w:spacing w:before="0" w:beforeAutospacing="0" w:after="150" w:afterAutospacing="0" w:line="555" w:lineRule="atLeast"/>
        <w:ind w:right="0"/>
        <w:jc w:val="both"/>
        <w:rPr>
          <w:rFonts w:hint="eastAsia" w:ascii="黑体" w:hAnsi="宋体" w:eastAsia="黑体" w:cs="黑体"/>
          <w:color w:val="333333"/>
          <w:spacing w:val="0"/>
          <w:sz w:val="31"/>
          <w:szCs w:val="31"/>
          <w:shd w:val="clear" w:fill="FFFFFF"/>
        </w:rPr>
      </w:pPr>
    </w:p>
    <w:p>
      <w:pPr>
        <w:pStyle w:val="6"/>
        <w:keepNext w:val="0"/>
        <w:keepLines w:val="0"/>
        <w:widowControl/>
        <w:suppressLineNumbers w:val="0"/>
        <w:shd w:val="clear" w:fill="FFFFFF"/>
        <w:spacing w:before="0" w:beforeAutospacing="0" w:after="150" w:afterAutospacing="0" w:line="555" w:lineRule="atLeast"/>
        <w:ind w:left="0" w:right="0" w:firstLine="645"/>
        <w:jc w:val="both"/>
        <w:rPr>
          <w:rFonts w:hint="eastAsia" w:ascii="黑体" w:hAnsi="宋体" w:eastAsia="黑体" w:cs="黑体"/>
          <w:color w:val="333333"/>
          <w:spacing w:val="0"/>
          <w:sz w:val="32"/>
          <w:szCs w:val="32"/>
          <w:shd w:val="clear" w:fill="FFFFFF"/>
        </w:rPr>
      </w:pPr>
    </w:p>
    <w:p>
      <w:pPr>
        <w:pStyle w:val="6"/>
        <w:keepNext w:val="0"/>
        <w:keepLines w:val="0"/>
        <w:widowControl/>
        <w:suppressLineNumbers w:val="0"/>
        <w:shd w:val="clear" w:fill="FFFFFF"/>
        <w:spacing w:before="0" w:beforeAutospacing="0" w:after="150" w:afterAutospacing="0" w:line="555" w:lineRule="atLeast"/>
        <w:ind w:left="0" w:right="0" w:firstLine="645"/>
        <w:jc w:val="both"/>
        <w:rPr>
          <w:rFonts w:hint="eastAsia" w:ascii="黑体" w:hAnsi="宋体" w:eastAsia="黑体" w:cs="黑体"/>
          <w:color w:val="333333"/>
          <w:spacing w:val="0"/>
          <w:sz w:val="32"/>
          <w:szCs w:val="32"/>
          <w:shd w:val="clear" w:fill="FFFFFF"/>
        </w:rPr>
      </w:pPr>
    </w:p>
    <w:p>
      <w:pPr>
        <w:pStyle w:val="6"/>
        <w:keepNext w:val="0"/>
        <w:keepLines w:val="0"/>
        <w:widowControl/>
        <w:suppressLineNumbers w:val="0"/>
        <w:shd w:val="clear" w:fill="FFFFFF"/>
        <w:spacing w:before="0" w:beforeAutospacing="0" w:after="150" w:afterAutospacing="0" w:line="555" w:lineRule="atLeast"/>
        <w:ind w:left="0" w:right="0" w:firstLine="645"/>
        <w:jc w:val="both"/>
        <w:rPr>
          <w:sz w:val="32"/>
          <w:szCs w:val="32"/>
        </w:rPr>
      </w:pPr>
      <w:r>
        <w:rPr>
          <w:rFonts w:hint="eastAsia" w:ascii="黑体" w:hAnsi="宋体" w:eastAsia="黑体" w:cs="黑体"/>
          <w:color w:val="333333"/>
          <w:spacing w:val="0"/>
          <w:sz w:val="32"/>
          <w:szCs w:val="32"/>
          <w:shd w:val="clear" w:fill="FFFFFF"/>
        </w:rPr>
        <w:t>四、政府信息公开行政复议、行政诉讼情况</w:t>
      </w:r>
    </w:p>
    <w:tbl>
      <w:tblPr>
        <w:tblStyle w:val="7"/>
        <w:tblW w:w="97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jc w:val="center"/>
        </w:trPr>
        <w:tc>
          <w:tcPr>
            <w:tcW w:w="3245" w:type="dxa"/>
            <w:gridSpan w:val="5"/>
            <w:shd w:val="clear" w:color="auto" w:fill="BDD7ED"/>
          </w:tcPr>
          <w:p>
            <w:pPr>
              <w:pStyle w:val="9"/>
              <w:spacing w:before="137"/>
              <w:ind w:left="1226" w:right="1208"/>
              <w:jc w:val="center"/>
              <w:rPr>
                <w:sz w:val="20"/>
              </w:rPr>
            </w:pPr>
            <w:r>
              <w:rPr>
                <w:w w:val="95"/>
                <w:sz w:val="20"/>
              </w:rPr>
              <w:t>行政复</w:t>
            </w:r>
            <w:r>
              <w:rPr>
                <w:spacing w:val="-10"/>
                <w:w w:val="95"/>
                <w:sz w:val="20"/>
              </w:rPr>
              <w:t>议</w:t>
            </w:r>
          </w:p>
        </w:tc>
        <w:tc>
          <w:tcPr>
            <w:tcW w:w="6503" w:type="dxa"/>
            <w:gridSpan w:val="10"/>
            <w:shd w:val="clear" w:color="auto" w:fill="BDD7ED"/>
          </w:tcPr>
          <w:p>
            <w:pPr>
              <w:pStyle w:val="9"/>
              <w:spacing w:before="137"/>
              <w:ind w:left="2856" w:right="2837"/>
              <w:jc w:val="center"/>
              <w:rPr>
                <w:sz w:val="20"/>
              </w:rPr>
            </w:pPr>
            <w:r>
              <w:rPr>
                <w:w w:val="95"/>
                <w:sz w:val="20"/>
              </w:rPr>
              <w:t>行政诉</w:t>
            </w:r>
            <w:r>
              <w:rPr>
                <w:spacing w:val="-10"/>
                <w:w w:val="95"/>
                <w:sz w:val="20"/>
              </w:rPr>
              <w:t>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jc w:val="center"/>
        </w:trPr>
        <w:tc>
          <w:tcPr>
            <w:tcW w:w="649" w:type="dxa"/>
            <w:vMerge w:val="restart"/>
            <w:tcBorders>
              <w:bottom w:val="single" w:color="000000" w:sz="8" w:space="0"/>
            </w:tcBorders>
          </w:tcPr>
          <w:p>
            <w:pPr>
              <w:pStyle w:val="9"/>
              <w:spacing w:before="8"/>
              <w:rPr>
                <w:rFonts w:ascii="华文细黑"/>
                <w:sz w:val="24"/>
              </w:rPr>
            </w:pPr>
          </w:p>
          <w:p>
            <w:pPr>
              <w:pStyle w:val="9"/>
              <w:spacing w:line="292" w:lineRule="auto"/>
              <w:ind w:left="123" w:right="105"/>
              <w:rPr>
                <w:sz w:val="20"/>
              </w:rPr>
            </w:pPr>
            <w:r>
              <w:rPr>
                <w:spacing w:val="-6"/>
                <w:sz w:val="20"/>
              </w:rPr>
              <w:t>结果</w:t>
            </w:r>
            <w:r>
              <w:rPr>
                <w:w w:val="95"/>
                <w:sz w:val="20"/>
              </w:rPr>
              <w:t>维</w:t>
            </w:r>
            <w:r>
              <w:rPr>
                <w:spacing w:val="-10"/>
                <w:sz w:val="20"/>
              </w:rPr>
              <w:t>持</w:t>
            </w:r>
          </w:p>
        </w:tc>
        <w:tc>
          <w:tcPr>
            <w:tcW w:w="649" w:type="dxa"/>
            <w:vMerge w:val="restart"/>
            <w:tcBorders>
              <w:bottom w:val="single" w:color="000000" w:sz="8" w:space="0"/>
            </w:tcBorders>
          </w:tcPr>
          <w:p>
            <w:pPr>
              <w:pStyle w:val="9"/>
              <w:spacing w:before="8"/>
              <w:rPr>
                <w:rFonts w:ascii="华文细黑"/>
                <w:sz w:val="24"/>
              </w:rPr>
            </w:pPr>
          </w:p>
          <w:p>
            <w:pPr>
              <w:pStyle w:val="9"/>
              <w:spacing w:line="292" w:lineRule="auto"/>
              <w:ind w:left="124" w:right="104"/>
              <w:rPr>
                <w:sz w:val="20"/>
              </w:rPr>
            </w:pPr>
            <w:r>
              <w:rPr>
                <w:spacing w:val="-6"/>
                <w:sz w:val="20"/>
              </w:rPr>
              <w:t>结果</w:t>
            </w:r>
            <w:r>
              <w:rPr>
                <w:w w:val="95"/>
                <w:sz w:val="20"/>
              </w:rPr>
              <w:t>纠</w:t>
            </w:r>
            <w:r>
              <w:rPr>
                <w:spacing w:val="-10"/>
                <w:sz w:val="20"/>
              </w:rPr>
              <w:t>正</w:t>
            </w:r>
          </w:p>
        </w:tc>
        <w:tc>
          <w:tcPr>
            <w:tcW w:w="649" w:type="dxa"/>
            <w:vMerge w:val="restart"/>
            <w:tcBorders>
              <w:bottom w:val="single" w:color="000000" w:sz="8" w:space="0"/>
            </w:tcBorders>
          </w:tcPr>
          <w:p>
            <w:pPr>
              <w:pStyle w:val="9"/>
              <w:spacing w:before="8"/>
              <w:rPr>
                <w:rFonts w:ascii="华文细黑"/>
                <w:sz w:val="24"/>
              </w:rPr>
            </w:pPr>
          </w:p>
          <w:p>
            <w:pPr>
              <w:pStyle w:val="9"/>
              <w:spacing w:line="292" w:lineRule="auto"/>
              <w:ind w:left="123" w:right="105"/>
              <w:rPr>
                <w:sz w:val="20"/>
              </w:rPr>
            </w:pPr>
            <w:r>
              <w:rPr>
                <w:spacing w:val="-6"/>
                <w:sz w:val="20"/>
              </w:rPr>
              <w:t>其他</w:t>
            </w:r>
            <w:r>
              <w:rPr>
                <w:w w:val="95"/>
                <w:sz w:val="20"/>
              </w:rPr>
              <w:t>结</w:t>
            </w:r>
            <w:r>
              <w:rPr>
                <w:spacing w:val="-10"/>
                <w:sz w:val="20"/>
              </w:rPr>
              <w:t>果</w:t>
            </w:r>
          </w:p>
        </w:tc>
        <w:tc>
          <w:tcPr>
            <w:tcW w:w="649" w:type="dxa"/>
            <w:vMerge w:val="restart"/>
            <w:tcBorders>
              <w:bottom w:val="single" w:color="000000" w:sz="8" w:space="0"/>
            </w:tcBorders>
          </w:tcPr>
          <w:p>
            <w:pPr>
              <w:pStyle w:val="9"/>
              <w:spacing w:before="8"/>
              <w:rPr>
                <w:rFonts w:ascii="华文细黑"/>
                <w:sz w:val="24"/>
              </w:rPr>
            </w:pPr>
          </w:p>
          <w:p>
            <w:pPr>
              <w:pStyle w:val="9"/>
              <w:spacing w:line="292" w:lineRule="auto"/>
              <w:ind w:left="122" w:right="106"/>
              <w:rPr>
                <w:sz w:val="20"/>
              </w:rPr>
            </w:pPr>
            <w:r>
              <w:rPr>
                <w:spacing w:val="-6"/>
                <w:sz w:val="20"/>
              </w:rPr>
              <w:t>尚未</w:t>
            </w:r>
            <w:r>
              <w:rPr>
                <w:w w:val="95"/>
                <w:sz w:val="20"/>
              </w:rPr>
              <w:t>审</w:t>
            </w:r>
            <w:r>
              <w:rPr>
                <w:spacing w:val="-10"/>
                <w:sz w:val="20"/>
              </w:rPr>
              <w:t>结</w:t>
            </w:r>
          </w:p>
        </w:tc>
        <w:tc>
          <w:tcPr>
            <w:tcW w:w="649" w:type="dxa"/>
            <w:vMerge w:val="restart"/>
            <w:tcBorders>
              <w:bottom w:val="single" w:color="000000" w:sz="8" w:space="0"/>
            </w:tcBorders>
          </w:tcPr>
          <w:p>
            <w:pPr>
              <w:pStyle w:val="9"/>
              <w:rPr>
                <w:rFonts w:ascii="华文细黑"/>
                <w:sz w:val="20"/>
              </w:rPr>
            </w:pPr>
          </w:p>
          <w:p>
            <w:pPr>
              <w:pStyle w:val="9"/>
              <w:spacing w:before="14"/>
              <w:rPr>
                <w:rFonts w:ascii="华文细黑"/>
                <w:sz w:val="14"/>
              </w:rPr>
            </w:pPr>
          </w:p>
          <w:p>
            <w:pPr>
              <w:pStyle w:val="9"/>
              <w:ind w:left="123"/>
              <w:rPr>
                <w:sz w:val="20"/>
              </w:rPr>
            </w:pPr>
            <w:r>
              <w:rPr>
                <w:w w:val="95"/>
                <w:sz w:val="20"/>
              </w:rPr>
              <w:t>总</w:t>
            </w:r>
            <w:r>
              <w:rPr>
                <w:spacing w:val="-10"/>
                <w:sz w:val="20"/>
              </w:rPr>
              <w:t>计</w:t>
            </w:r>
          </w:p>
        </w:tc>
        <w:tc>
          <w:tcPr>
            <w:tcW w:w="3248" w:type="dxa"/>
            <w:gridSpan w:val="5"/>
            <w:shd w:val="clear" w:color="auto" w:fill="DDEBF7"/>
          </w:tcPr>
          <w:p>
            <w:pPr>
              <w:pStyle w:val="9"/>
              <w:spacing w:before="155"/>
              <w:ind w:left="823"/>
              <w:rPr>
                <w:sz w:val="20"/>
              </w:rPr>
            </w:pPr>
            <w:r>
              <w:rPr>
                <w:w w:val="95"/>
                <w:sz w:val="20"/>
              </w:rPr>
              <w:t>未经复议直接起</w:t>
            </w:r>
            <w:r>
              <w:rPr>
                <w:spacing w:val="-10"/>
                <w:w w:val="95"/>
                <w:sz w:val="20"/>
              </w:rPr>
              <w:t>诉</w:t>
            </w:r>
          </w:p>
        </w:tc>
        <w:tc>
          <w:tcPr>
            <w:tcW w:w="3255" w:type="dxa"/>
            <w:gridSpan w:val="5"/>
            <w:shd w:val="clear" w:color="auto" w:fill="DDEBF7"/>
          </w:tcPr>
          <w:p>
            <w:pPr>
              <w:pStyle w:val="9"/>
              <w:spacing w:before="155"/>
              <w:ind w:left="1136" w:right="1118"/>
              <w:jc w:val="center"/>
              <w:rPr>
                <w:sz w:val="20"/>
              </w:rPr>
            </w:pPr>
            <w:r>
              <w:rPr>
                <w:w w:val="95"/>
                <w:sz w:val="20"/>
              </w:rPr>
              <w:t>复议后起</w:t>
            </w:r>
            <w:r>
              <w:rPr>
                <w:spacing w:val="-10"/>
                <w:w w:val="95"/>
                <w:sz w:val="20"/>
              </w:rPr>
              <w:t>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jc w:val="center"/>
        </w:trPr>
        <w:tc>
          <w:tcPr>
            <w:tcW w:w="649" w:type="dxa"/>
            <w:vMerge w:val="continue"/>
            <w:tcBorders>
              <w:top w:val="single" w:color="000000" w:sz="8" w:space="0"/>
              <w:bottom w:val="single" w:color="000000" w:sz="8" w:space="0"/>
            </w:tcBorders>
          </w:tcPr>
          <w:p>
            <w:pPr>
              <w:rPr>
                <w:sz w:val="2"/>
                <w:szCs w:val="2"/>
              </w:rPr>
            </w:pPr>
          </w:p>
        </w:tc>
        <w:tc>
          <w:tcPr>
            <w:tcW w:w="649" w:type="dxa"/>
            <w:vMerge w:val="continue"/>
            <w:tcBorders>
              <w:top w:val="single" w:color="000000" w:sz="8" w:space="0"/>
              <w:bottom w:val="single" w:color="000000" w:sz="8" w:space="0"/>
            </w:tcBorders>
          </w:tcPr>
          <w:p>
            <w:pPr>
              <w:rPr>
                <w:sz w:val="2"/>
                <w:szCs w:val="2"/>
              </w:rPr>
            </w:pPr>
          </w:p>
        </w:tc>
        <w:tc>
          <w:tcPr>
            <w:tcW w:w="649" w:type="dxa"/>
            <w:vMerge w:val="continue"/>
            <w:tcBorders>
              <w:top w:val="single" w:color="000000" w:sz="8" w:space="0"/>
              <w:bottom w:val="single" w:color="000000" w:sz="8" w:space="0"/>
            </w:tcBorders>
          </w:tcPr>
          <w:p>
            <w:pPr>
              <w:rPr>
                <w:sz w:val="2"/>
                <w:szCs w:val="2"/>
              </w:rPr>
            </w:pPr>
          </w:p>
        </w:tc>
        <w:tc>
          <w:tcPr>
            <w:tcW w:w="649" w:type="dxa"/>
            <w:vMerge w:val="continue"/>
            <w:tcBorders>
              <w:top w:val="single" w:color="000000" w:sz="8" w:space="0"/>
              <w:bottom w:val="single" w:color="000000" w:sz="8" w:space="0"/>
            </w:tcBorders>
          </w:tcPr>
          <w:p>
            <w:pPr>
              <w:rPr>
                <w:sz w:val="2"/>
                <w:szCs w:val="2"/>
              </w:rPr>
            </w:pPr>
          </w:p>
        </w:tc>
        <w:tc>
          <w:tcPr>
            <w:tcW w:w="649" w:type="dxa"/>
            <w:vMerge w:val="continue"/>
            <w:tcBorders>
              <w:top w:val="single" w:color="000000" w:sz="8" w:space="0"/>
              <w:bottom w:val="single" w:color="000000" w:sz="8" w:space="0"/>
            </w:tcBorders>
          </w:tcPr>
          <w:p>
            <w:pPr>
              <w:rPr>
                <w:sz w:val="2"/>
                <w:szCs w:val="2"/>
              </w:rPr>
            </w:pPr>
          </w:p>
        </w:tc>
        <w:tc>
          <w:tcPr>
            <w:tcW w:w="649" w:type="dxa"/>
          </w:tcPr>
          <w:p>
            <w:pPr>
              <w:pStyle w:val="9"/>
              <w:spacing w:before="65" w:line="292" w:lineRule="auto"/>
              <w:ind w:left="122" w:right="107"/>
              <w:rPr>
                <w:sz w:val="20"/>
              </w:rPr>
            </w:pPr>
            <w:r>
              <w:rPr>
                <w:spacing w:val="-6"/>
                <w:sz w:val="20"/>
              </w:rPr>
              <w:t>结果</w:t>
            </w:r>
            <w:r>
              <w:rPr>
                <w:w w:val="95"/>
                <w:sz w:val="20"/>
              </w:rPr>
              <w:t>维</w:t>
            </w:r>
            <w:r>
              <w:rPr>
                <w:spacing w:val="-10"/>
                <w:sz w:val="20"/>
              </w:rPr>
              <w:t>持</w:t>
            </w:r>
          </w:p>
        </w:tc>
        <w:tc>
          <w:tcPr>
            <w:tcW w:w="649" w:type="dxa"/>
          </w:tcPr>
          <w:p>
            <w:pPr>
              <w:pStyle w:val="9"/>
              <w:spacing w:before="65" w:line="292" w:lineRule="auto"/>
              <w:ind w:left="124" w:right="104"/>
              <w:rPr>
                <w:sz w:val="20"/>
              </w:rPr>
            </w:pPr>
            <w:r>
              <w:rPr>
                <w:spacing w:val="-6"/>
                <w:sz w:val="20"/>
              </w:rPr>
              <w:t>结果</w:t>
            </w:r>
            <w:r>
              <w:rPr>
                <w:w w:val="95"/>
                <w:sz w:val="20"/>
              </w:rPr>
              <w:t>纠</w:t>
            </w:r>
            <w:r>
              <w:rPr>
                <w:spacing w:val="-10"/>
                <w:sz w:val="20"/>
              </w:rPr>
              <w:t>正</w:t>
            </w:r>
          </w:p>
        </w:tc>
        <w:tc>
          <w:tcPr>
            <w:tcW w:w="650" w:type="dxa"/>
          </w:tcPr>
          <w:p>
            <w:pPr>
              <w:pStyle w:val="9"/>
              <w:spacing w:before="65" w:line="292" w:lineRule="auto"/>
              <w:ind w:left="125" w:right="104"/>
              <w:rPr>
                <w:sz w:val="20"/>
              </w:rPr>
            </w:pPr>
            <w:r>
              <w:rPr>
                <w:spacing w:val="-6"/>
                <w:sz w:val="20"/>
              </w:rPr>
              <w:t>其他</w:t>
            </w:r>
            <w:r>
              <w:rPr>
                <w:w w:val="95"/>
                <w:sz w:val="20"/>
              </w:rPr>
              <w:t>结</w:t>
            </w:r>
            <w:r>
              <w:rPr>
                <w:spacing w:val="-10"/>
                <w:sz w:val="20"/>
              </w:rPr>
              <w:t>果</w:t>
            </w:r>
          </w:p>
        </w:tc>
        <w:tc>
          <w:tcPr>
            <w:tcW w:w="650" w:type="dxa"/>
          </w:tcPr>
          <w:p>
            <w:pPr>
              <w:pStyle w:val="9"/>
              <w:spacing w:before="65" w:line="292" w:lineRule="auto"/>
              <w:ind w:left="123" w:right="106"/>
              <w:rPr>
                <w:sz w:val="20"/>
              </w:rPr>
            </w:pPr>
            <w:r>
              <w:rPr>
                <w:spacing w:val="-6"/>
                <w:sz w:val="20"/>
              </w:rPr>
              <w:t>尚未</w:t>
            </w:r>
            <w:r>
              <w:rPr>
                <w:w w:val="95"/>
                <w:sz w:val="20"/>
              </w:rPr>
              <w:t>审</w:t>
            </w:r>
            <w:r>
              <w:rPr>
                <w:spacing w:val="-10"/>
                <w:sz w:val="20"/>
              </w:rPr>
              <w:t>结</w:t>
            </w:r>
          </w:p>
        </w:tc>
        <w:tc>
          <w:tcPr>
            <w:tcW w:w="650" w:type="dxa"/>
          </w:tcPr>
          <w:p>
            <w:pPr>
              <w:pStyle w:val="9"/>
              <w:spacing w:before="11"/>
              <w:rPr>
                <w:rFonts w:ascii="华文细黑"/>
                <w:sz w:val="14"/>
              </w:rPr>
            </w:pPr>
          </w:p>
          <w:p>
            <w:pPr>
              <w:pStyle w:val="9"/>
              <w:ind w:left="124"/>
              <w:rPr>
                <w:sz w:val="20"/>
              </w:rPr>
            </w:pPr>
            <w:r>
              <w:rPr>
                <w:w w:val="95"/>
                <w:sz w:val="20"/>
              </w:rPr>
              <w:t>总</w:t>
            </w:r>
            <w:r>
              <w:rPr>
                <w:spacing w:val="-10"/>
                <w:sz w:val="20"/>
              </w:rPr>
              <w:t>计</w:t>
            </w:r>
          </w:p>
        </w:tc>
        <w:tc>
          <w:tcPr>
            <w:tcW w:w="651" w:type="dxa"/>
          </w:tcPr>
          <w:p>
            <w:pPr>
              <w:pStyle w:val="9"/>
              <w:spacing w:before="65" w:line="292" w:lineRule="auto"/>
              <w:ind w:left="124" w:right="106"/>
              <w:rPr>
                <w:sz w:val="20"/>
              </w:rPr>
            </w:pPr>
            <w:r>
              <w:rPr>
                <w:spacing w:val="-6"/>
                <w:sz w:val="20"/>
              </w:rPr>
              <w:t>结果</w:t>
            </w:r>
            <w:r>
              <w:rPr>
                <w:w w:val="95"/>
                <w:sz w:val="20"/>
              </w:rPr>
              <w:t>维</w:t>
            </w:r>
            <w:r>
              <w:rPr>
                <w:spacing w:val="-10"/>
                <w:sz w:val="20"/>
              </w:rPr>
              <w:t>持</w:t>
            </w:r>
          </w:p>
        </w:tc>
        <w:tc>
          <w:tcPr>
            <w:tcW w:w="651" w:type="dxa"/>
          </w:tcPr>
          <w:p>
            <w:pPr>
              <w:pStyle w:val="9"/>
              <w:spacing w:before="65" w:line="292" w:lineRule="auto"/>
              <w:ind w:left="123" w:right="108"/>
              <w:rPr>
                <w:sz w:val="20"/>
              </w:rPr>
            </w:pPr>
            <w:r>
              <w:rPr>
                <w:spacing w:val="-6"/>
                <w:sz w:val="20"/>
              </w:rPr>
              <w:t>结果</w:t>
            </w:r>
            <w:r>
              <w:rPr>
                <w:w w:val="95"/>
                <w:sz w:val="20"/>
              </w:rPr>
              <w:t>纠</w:t>
            </w:r>
            <w:r>
              <w:rPr>
                <w:spacing w:val="-10"/>
                <w:sz w:val="20"/>
              </w:rPr>
              <w:t>正</w:t>
            </w:r>
          </w:p>
        </w:tc>
        <w:tc>
          <w:tcPr>
            <w:tcW w:w="651" w:type="dxa"/>
          </w:tcPr>
          <w:p>
            <w:pPr>
              <w:pStyle w:val="9"/>
              <w:spacing w:before="65" w:line="292" w:lineRule="auto"/>
              <w:ind w:left="125" w:right="105"/>
              <w:rPr>
                <w:sz w:val="20"/>
              </w:rPr>
            </w:pPr>
            <w:r>
              <w:rPr>
                <w:spacing w:val="-6"/>
                <w:sz w:val="20"/>
              </w:rPr>
              <w:t>其他</w:t>
            </w:r>
            <w:r>
              <w:rPr>
                <w:w w:val="95"/>
                <w:sz w:val="20"/>
              </w:rPr>
              <w:t>结</w:t>
            </w:r>
            <w:r>
              <w:rPr>
                <w:spacing w:val="-10"/>
                <w:sz w:val="20"/>
              </w:rPr>
              <w:t>果</w:t>
            </w:r>
          </w:p>
        </w:tc>
        <w:tc>
          <w:tcPr>
            <w:tcW w:w="651" w:type="dxa"/>
          </w:tcPr>
          <w:p>
            <w:pPr>
              <w:pStyle w:val="9"/>
              <w:spacing w:before="65" w:line="292" w:lineRule="auto"/>
              <w:ind w:left="125" w:right="105"/>
              <w:rPr>
                <w:sz w:val="20"/>
              </w:rPr>
            </w:pPr>
            <w:r>
              <w:rPr>
                <w:spacing w:val="-6"/>
                <w:sz w:val="20"/>
              </w:rPr>
              <w:t>尚未</w:t>
            </w:r>
            <w:r>
              <w:rPr>
                <w:w w:val="95"/>
                <w:sz w:val="20"/>
              </w:rPr>
              <w:t>审</w:t>
            </w:r>
            <w:r>
              <w:rPr>
                <w:spacing w:val="-10"/>
                <w:sz w:val="20"/>
              </w:rPr>
              <w:t>结</w:t>
            </w:r>
          </w:p>
        </w:tc>
        <w:tc>
          <w:tcPr>
            <w:tcW w:w="651" w:type="dxa"/>
          </w:tcPr>
          <w:p>
            <w:pPr>
              <w:pStyle w:val="9"/>
              <w:spacing w:before="11"/>
              <w:rPr>
                <w:rFonts w:ascii="华文细黑"/>
                <w:sz w:val="14"/>
              </w:rPr>
            </w:pPr>
          </w:p>
          <w:p>
            <w:pPr>
              <w:pStyle w:val="9"/>
              <w:ind w:left="124"/>
              <w:rPr>
                <w:sz w:val="20"/>
              </w:rPr>
            </w:pPr>
            <w:r>
              <w:rPr>
                <w:w w:val="95"/>
                <w:sz w:val="20"/>
              </w:rPr>
              <w:t>总</w:t>
            </w:r>
            <w:r>
              <w:rPr>
                <w:spacing w:val="-10"/>
                <w:sz w:val="20"/>
              </w:rPr>
              <w:t>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1" w:hRule="atLeast"/>
          <w:jc w:val="center"/>
        </w:trPr>
        <w:tc>
          <w:tcPr>
            <w:tcW w:w="649" w:type="dxa"/>
            <w:tcBorders>
              <w:top w:val="single" w:color="000000" w:sz="8"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tcBorders>
              <w:top w:val="single" w:color="000000" w:sz="8"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tcBorders>
              <w:top w:val="single" w:color="000000" w:sz="8"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tcBorders>
              <w:top w:val="single" w:color="000000" w:sz="8"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tcBorders>
              <w:top w:val="single" w:color="000000" w:sz="8"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0"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0"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0"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1"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1"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1"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1"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1" w:type="dxa"/>
            <w:vAlign w:val="center"/>
          </w:tcPr>
          <w:p>
            <w:pPr>
              <w:pStyle w:val="9"/>
              <w:jc w:val="center"/>
              <w:rPr>
                <w:rFonts w:hint="eastAsia" w:ascii="Times New Roman" w:eastAsia="宋体"/>
                <w:sz w:val="24"/>
                <w:lang w:val="en-US" w:eastAsia="zh-CN"/>
              </w:rPr>
            </w:pPr>
            <w:r>
              <w:rPr>
                <w:rFonts w:hint="eastAsia" w:ascii="Times New Roman"/>
                <w:sz w:val="24"/>
                <w:lang w:val="en-US" w:eastAsia="zh-CN"/>
              </w:rPr>
              <w:t>0</w:t>
            </w:r>
          </w:p>
        </w:tc>
      </w:tr>
    </w:tbl>
    <w:p>
      <w:pPr>
        <w:pStyle w:val="6"/>
        <w:keepNext w:val="0"/>
        <w:keepLines w:val="0"/>
        <w:widowControl/>
        <w:numPr>
          <w:ilvl w:val="0"/>
          <w:numId w:val="0"/>
        </w:numPr>
        <w:suppressLineNumbers w:val="0"/>
        <w:shd w:val="clear" w:fill="FFFFFF"/>
        <w:spacing w:before="0" w:beforeAutospacing="0" w:after="150" w:afterAutospacing="0" w:line="555" w:lineRule="atLeast"/>
        <w:ind w:left="645" w:leftChars="0" w:right="0" w:rightChars="0"/>
        <w:jc w:val="both"/>
        <w:rPr>
          <w:rFonts w:hint="eastAsia" w:ascii="黑体" w:hAnsi="宋体" w:eastAsia="黑体" w:cs="黑体"/>
          <w:color w:val="333333"/>
          <w:spacing w:val="0"/>
          <w:sz w:val="32"/>
          <w:szCs w:val="32"/>
          <w:shd w:val="clear" w:fill="FFFFFF"/>
        </w:rPr>
      </w:pPr>
    </w:p>
    <w:p>
      <w:pPr>
        <w:pStyle w:val="6"/>
        <w:keepNext w:val="0"/>
        <w:keepLines w:val="0"/>
        <w:widowControl/>
        <w:numPr>
          <w:ilvl w:val="0"/>
          <w:numId w:val="0"/>
        </w:numPr>
        <w:suppressLineNumbers w:val="0"/>
        <w:shd w:val="clear" w:fill="FFFFFF"/>
        <w:spacing w:before="0" w:beforeAutospacing="0" w:after="150" w:afterAutospacing="0" w:line="555" w:lineRule="atLeast"/>
        <w:ind w:left="645" w:leftChars="0" w:right="0" w:rightChars="0"/>
        <w:jc w:val="both"/>
        <w:rPr>
          <w:rFonts w:hint="eastAsia" w:ascii="黑体" w:hAnsi="宋体" w:eastAsia="黑体" w:cs="黑体"/>
          <w:color w:val="333333"/>
          <w:spacing w:val="0"/>
          <w:sz w:val="32"/>
          <w:szCs w:val="32"/>
          <w:shd w:val="clear" w:fill="FFFFFF"/>
        </w:rPr>
      </w:pPr>
      <w:r>
        <w:rPr>
          <w:rFonts w:hint="eastAsia" w:ascii="黑体" w:hAnsi="宋体" w:eastAsia="黑体" w:cs="黑体"/>
          <w:color w:val="333333"/>
          <w:spacing w:val="0"/>
          <w:sz w:val="32"/>
          <w:szCs w:val="32"/>
          <w:shd w:val="clear" w:fill="FFFFFF"/>
        </w:rPr>
        <w:t>五、存在的主要问题及改进情况</w:t>
      </w:r>
    </w:p>
    <w:p>
      <w:pPr>
        <w:pStyle w:val="6"/>
        <w:keepNext w:val="0"/>
        <w:keepLines w:val="0"/>
        <w:widowControl/>
        <w:suppressLineNumbers w:val="0"/>
        <w:shd w:val="clear" w:fill="FFFFFF"/>
        <w:spacing w:before="0" w:beforeAutospacing="0" w:after="150" w:afterAutospacing="0" w:line="555" w:lineRule="atLeas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西城区国资委政务公开工作在区政务服务管理局的有力指导下取得了一定进步，但对照上级要求和公众期望仍有需提高之处。主要是政策文件主动公开比率还不够高。主要原因是区国资委不行使政府公共管理职能，大部分政策文件仅对区管企业适用，不涉及社会大众，不属于主动公开范畴，故占比不高。</w:t>
      </w:r>
    </w:p>
    <w:p>
      <w:pPr>
        <w:pStyle w:val="6"/>
        <w:keepNext w:val="0"/>
        <w:keepLines w:val="0"/>
        <w:widowControl/>
        <w:suppressLineNumbers w:val="0"/>
        <w:shd w:val="clear" w:fill="FFFFFF"/>
        <w:spacing w:before="0"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2023年，我委将认真落实全区政务公开工作部署，紧紧围绕重点工作任务，不断创新工作方式方法，有序推进政府信息公开各项工作落实。</w:t>
      </w:r>
    </w:p>
    <w:p>
      <w:pPr>
        <w:pStyle w:val="6"/>
        <w:keepNext w:val="0"/>
        <w:keepLines w:val="0"/>
        <w:widowControl/>
        <w:suppressLineNumbers w:val="0"/>
        <w:shd w:val="clear" w:fill="FFFFFF"/>
        <w:spacing w:before="0" w:beforeAutospacing="0" w:after="150" w:afterAutospacing="0" w:line="555" w:lineRule="atLeast"/>
        <w:ind w:left="0" w:right="0" w:firstLine="645"/>
        <w:rPr>
          <w:rFonts w:hint="eastAsia" w:ascii="仿宋_GB2312" w:eastAsia="仿宋_GB2312" w:cs="仿宋_GB2312"/>
          <w:color w:val="333333"/>
          <w:spacing w:val="15"/>
          <w:sz w:val="31"/>
          <w:szCs w:val="31"/>
          <w:shd w:val="clear" w:fill="FFFFFF"/>
        </w:rPr>
      </w:pPr>
      <w:r>
        <w:rPr>
          <w:rFonts w:hint="eastAsia" w:ascii="仿宋_GB2312" w:hAnsi="仿宋_GB2312" w:eastAsia="仿宋_GB2312" w:cs="仿宋_GB2312"/>
          <w:kern w:val="2"/>
          <w:sz w:val="32"/>
          <w:szCs w:val="32"/>
          <w:lang w:val="en-US" w:eastAsia="zh-CN" w:bidi="ar-SA"/>
        </w:rPr>
        <w:t>一是进一步做好信息公开属性源头管理，严把审核关，做到“应公开尽公开”，提升服务水平。二是提升政府信息公开与融媒体平台的协同效果。灵活运用图表图解、音频视频、卡通动漫等形式，向企业和市民重点推送，增强信息推送的精准性、到达率和适用度，提高信息公开效果。三是完善办理流程加强政民互动交流。对信息公开的流程进一步梳理完善，不断提升政策解读的时效性，确保企业和群众看得懂、好理解、愿互动。</w:t>
      </w:r>
    </w:p>
    <w:p>
      <w:pPr>
        <w:pStyle w:val="6"/>
        <w:keepNext w:val="0"/>
        <w:keepLines w:val="0"/>
        <w:widowControl/>
        <w:numPr>
          <w:ilvl w:val="0"/>
          <w:numId w:val="0"/>
        </w:numPr>
        <w:suppressLineNumbers w:val="0"/>
        <w:shd w:val="clear" w:fill="FFFFFF"/>
        <w:spacing w:before="0" w:beforeAutospacing="0" w:after="150" w:afterAutospacing="0" w:line="555" w:lineRule="atLeast"/>
        <w:ind w:left="645" w:leftChars="0" w:right="0" w:rightChars="0"/>
        <w:jc w:val="both"/>
        <w:rPr>
          <w:rFonts w:hint="eastAsia" w:ascii="黑体" w:hAnsi="宋体" w:eastAsia="黑体" w:cs="黑体"/>
          <w:color w:val="333333"/>
          <w:spacing w:val="0"/>
          <w:sz w:val="32"/>
          <w:szCs w:val="32"/>
          <w:shd w:val="clear" w:fill="FFFFFF"/>
        </w:rPr>
      </w:pPr>
      <w:r>
        <w:rPr>
          <w:rFonts w:hint="eastAsia" w:ascii="黑体" w:hAnsi="宋体" w:eastAsia="黑体" w:cs="黑体"/>
          <w:color w:val="333333"/>
          <w:spacing w:val="0"/>
          <w:sz w:val="32"/>
          <w:szCs w:val="32"/>
          <w:shd w:val="clear" w:fill="FFFFFF"/>
        </w:rPr>
        <w:t>六、其他需要报告的事项</w:t>
      </w:r>
    </w:p>
    <w:p>
      <w:pPr>
        <w:pStyle w:val="6"/>
        <w:keepNext w:val="0"/>
        <w:keepLines w:val="0"/>
        <w:widowControl/>
        <w:suppressLineNumbers w:val="0"/>
        <w:shd w:val="clear" w:fill="FFFFFF"/>
        <w:spacing w:before="0"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根据国办函〔2020〕109号关于印发《政府信息公开信息处理费管理办法》的通知文件，2022年区国资委未收取信息处理费，无其他需要报告的事项。</w:t>
      </w:r>
    </w:p>
    <w:p>
      <w:pPr>
        <w:pStyle w:val="6"/>
        <w:keepNext w:val="0"/>
        <w:keepLines w:val="0"/>
        <w:widowControl/>
        <w:suppressLineNumbers w:val="0"/>
        <w:shd w:val="clear" w:fill="FFFFFF"/>
        <w:spacing w:before="0"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p>
    <w:p>
      <w:pPr>
        <w:pStyle w:val="6"/>
        <w:keepNext w:val="0"/>
        <w:keepLines w:val="0"/>
        <w:widowControl/>
        <w:suppressLineNumbers w:val="0"/>
        <w:shd w:val="clear" w:fill="FFFFFF"/>
        <w:spacing w:before="0"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p>
    <w:p>
      <w:pPr>
        <w:pStyle w:val="6"/>
        <w:keepNext w:val="0"/>
        <w:keepLines w:val="0"/>
        <w:widowControl/>
        <w:suppressLineNumbers w:val="0"/>
        <w:shd w:val="clear" w:fill="FFFFFF"/>
        <w:spacing w:before="0" w:beforeAutospacing="0" w:after="150" w:afterAutospacing="0" w:line="555" w:lineRule="atLeast"/>
        <w:ind w:left="0" w:right="0" w:firstLine="4819" w:firstLineChars="1506"/>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西城区国资委</w:t>
      </w:r>
    </w:p>
    <w:p>
      <w:pPr>
        <w:pStyle w:val="6"/>
        <w:keepNext w:val="0"/>
        <w:keepLines w:val="0"/>
        <w:widowControl/>
        <w:suppressLineNumbers w:val="0"/>
        <w:shd w:val="clear" w:fill="FFFFFF"/>
        <w:spacing w:before="0" w:beforeAutospacing="0" w:after="150" w:afterAutospacing="0" w:line="555" w:lineRule="atLeast"/>
        <w:ind w:right="0" w:firstLine="4480" w:firstLineChars="14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2023年1月10日</w:t>
      </w:r>
    </w:p>
    <w:p>
      <w:pPr>
        <w:pStyle w:val="6"/>
        <w:keepNext w:val="0"/>
        <w:keepLines w:val="0"/>
        <w:widowControl/>
        <w:suppressLineNumbers w:val="0"/>
        <w:shd w:val="clear" w:fill="FFFFFF"/>
        <w:spacing w:before="0" w:beforeAutospacing="0" w:after="150" w:afterAutospacing="0" w:line="555" w:lineRule="atLeast"/>
        <w:ind w:right="0"/>
        <w:rPr>
          <w:rFonts w:hint="eastAsia" w:ascii="仿宋_GB2312" w:hAnsi="仿宋_GB2312" w:eastAsia="仿宋_GB2312" w:cs="仿宋_GB2312"/>
          <w:kern w:val="2"/>
          <w:sz w:val="32"/>
          <w:szCs w:val="32"/>
          <w:lang w:val="en-US" w:eastAsia="zh-CN" w:bidi="ar-SA"/>
        </w:rPr>
      </w:pPr>
    </w:p>
    <w:p>
      <w:pPr>
        <w:pStyle w:val="6"/>
        <w:keepNext w:val="0"/>
        <w:keepLines w:val="0"/>
        <w:widowControl/>
        <w:suppressLineNumbers w:val="0"/>
        <w:shd w:val="clear" w:fill="FFFFFF"/>
        <w:spacing w:before="0" w:beforeAutospacing="0" w:after="150" w:afterAutospacing="0" w:line="555" w:lineRule="atLeast"/>
        <w:ind w:left="0" w:right="0" w:firstLine="645"/>
        <w:rPr>
          <w:rFonts w:hint="eastAsia" w:ascii="仿宋_GB2312" w:eastAsia="仿宋_GB2312" w:cs="仿宋_GB2312"/>
          <w:color w:val="333333"/>
          <w:spacing w:val="15"/>
          <w:sz w:val="31"/>
          <w:szCs w:val="31"/>
          <w:shd w:val="clear" w:fill="FFFFFF"/>
        </w:rPr>
      </w:pPr>
    </w:p>
    <w:p>
      <w:pPr>
        <w:pStyle w:val="6"/>
        <w:keepNext w:val="0"/>
        <w:keepLines w:val="0"/>
        <w:widowControl/>
        <w:suppressLineNumbers w:val="0"/>
        <w:shd w:val="clear" w:fill="FFFFFF"/>
        <w:spacing w:before="0" w:beforeAutospacing="0" w:after="150" w:afterAutospacing="0" w:line="540" w:lineRule="atLeast"/>
        <w:ind w:left="0" w:right="0" w:firstLine="0"/>
        <w:jc w:val="both"/>
        <w:rPr>
          <w:rFonts w:hint="eastAsia" w:ascii="方正小标宋简体" w:hAnsi="方正小标宋简体" w:eastAsia="方正小标宋简体" w:cs="方正小标宋简体"/>
          <w:color w:val="333333"/>
          <w:spacing w:val="0"/>
          <w:sz w:val="43"/>
          <w:szCs w:val="43"/>
          <w:shd w:val="clear" w:fill="FFFFFF"/>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细黑">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A31DA"/>
    <w:rsid w:val="0A8A31DA"/>
    <w:rsid w:val="1D2D12B7"/>
    <w:rsid w:val="3A711688"/>
    <w:rsid w:val="3F672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75" w:beforeAutospacing="0" w:after="75" w:afterAutospacing="0"/>
      <w:ind w:left="0" w:right="0"/>
      <w:jc w:val="left"/>
    </w:pPr>
    <w:rPr>
      <w:kern w:val="0"/>
      <w:sz w:val="24"/>
      <w:lang w:val="en-US" w:eastAsia="zh-CN" w:bidi="ar"/>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2023-01-06T08:03:00Z</dcterms:created>
  <dc:creator>区国资委</dc:creator>
  <cp:lastModifiedBy>区国资委</cp:lastModifiedBy>
  <cp:lastPrinted>2023-01-11T08:52:00Z</cp:lastPrinted>
  <dcterms:modified xsi:type="dcterms:W3CDTF">2023-01-11T09:21:58Z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