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西城区</w:t>
      </w:r>
      <w:r>
        <w:rPr>
          <w:rFonts w:hint="eastAsia" w:ascii="方正小标宋简体" w:hAnsi="方正小标宋简体" w:eastAsia="方正小标宋简体" w:cs="方正小标宋简体"/>
          <w:sz w:val="44"/>
          <w:szCs w:val="44"/>
          <w:lang w:eastAsia="zh-CN"/>
        </w:rPr>
        <w:t>城市管理指挥</w:t>
      </w:r>
      <w:r>
        <w:rPr>
          <w:rFonts w:hint="eastAsia" w:ascii="方正小标宋简体" w:hAnsi="方正小标宋简体" w:eastAsia="方正小标宋简体" w:cs="方正小标宋简体"/>
          <w:sz w:val="44"/>
          <w:szCs w:val="44"/>
        </w:rPr>
        <w:t>中心</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年政府信息公开工作年度报告</w:t>
      </w:r>
    </w:p>
    <w:p>
      <w:pPr>
        <w:rPr>
          <w:rFonts w:hint="eastAsia" w:ascii="仿宋" w:hAnsi="仿宋" w:eastAsia="仿宋" w:cs="仿宋"/>
          <w:sz w:val="32"/>
          <w:szCs w:val="32"/>
        </w:rPr>
      </w:pPr>
    </w:p>
    <w:p>
      <w:pPr>
        <w:rPr>
          <w:rFonts w:hint="eastAsia" w:ascii="仿宋_GB2312" w:hAnsi="仿宋_GB2312" w:eastAsia="仿宋_GB2312" w:cs="仿宋_GB2312"/>
          <w:sz w:val="32"/>
          <w:szCs w:val="32"/>
        </w:rPr>
      </w:pPr>
      <w:r>
        <w:rPr>
          <w:rFonts w:hint="eastAsia" w:ascii="仿宋" w:hAnsi="仿宋" w:eastAsia="仿宋" w:cs="仿宋"/>
          <w:sz w:val="32"/>
          <w:szCs w:val="32"/>
        </w:rPr>
        <w:t>     </w:t>
      </w:r>
      <w:r>
        <w:rPr>
          <w:rFonts w:hint="eastAsia" w:ascii="仿宋_GB2312" w:hAnsi="仿宋_GB2312" w:eastAsia="仿宋_GB2312" w:cs="仿宋_GB2312"/>
          <w:sz w:val="32"/>
          <w:szCs w:val="32"/>
        </w:rPr>
        <w:t>依据《中华人民共和国政府信息公开条例》(以下简称《政府信息公开条例》)第五十条规定，</w:t>
      </w:r>
      <w:r>
        <w:rPr>
          <w:rFonts w:hint="eastAsia" w:ascii="仿宋_GB2312" w:hAnsi="仿宋_GB2312" w:eastAsia="仿宋_GB2312" w:cs="仿宋_GB2312"/>
          <w:sz w:val="32"/>
          <w:szCs w:val="32"/>
          <w:lang w:eastAsia="zh-CN"/>
        </w:rPr>
        <w:t>形成</w:t>
      </w:r>
      <w:r>
        <w:rPr>
          <w:rFonts w:hint="eastAsia" w:ascii="仿宋_GB2312" w:hAnsi="仿宋_GB2312" w:eastAsia="仿宋_GB2312" w:cs="仿宋_GB2312"/>
          <w:sz w:val="32"/>
          <w:szCs w:val="32"/>
        </w:rPr>
        <w:t>本报告。</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一、总体情况</w:t>
      </w:r>
    </w:p>
    <w:p>
      <w:pPr>
        <w:ind w:firstLine="640" w:firstLineChars="200"/>
        <w:rPr>
          <w:rFonts w:hint="eastAsia" w:ascii="仿宋" w:hAnsi="仿宋" w:eastAsia="仿宋" w:cs="仿宋"/>
          <w:sz w:val="32"/>
          <w:szCs w:val="32"/>
        </w:rPr>
      </w:pPr>
      <w:r>
        <w:rPr>
          <w:rFonts w:ascii="楷体_GB2312" w:hAnsi="微软雅黑" w:eastAsia="楷体_GB2312" w:cs="楷体_GB2312"/>
          <w:i w:val="0"/>
          <w:iCs w:val="0"/>
          <w:caps w:val="0"/>
          <w:color w:val="404040"/>
          <w:spacing w:val="0"/>
          <w:sz w:val="32"/>
          <w:szCs w:val="32"/>
          <w:shd w:val="clear" w:fill="FFFFFF"/>
        </w:rPr>
        <w:t>（一）组织领导</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年，区</w:t>
      </w:r>
      <w:r>
        <w:rPr>
          <w:rFonts w:hint="eastAsia" w:ascii="仿宋_GB2312" w:hAnsi="仿宋_GB2312" w:eastAsia="仿宋_GB2312" w:cs="仿宋_GB2312"/>
          <w:sz w:val="32"/>
          <w:szCs w:val="32"/>
          <w:lang w:eastAsia="zh-CN"/>
        </w:rPr>
        <w:t>城管指挥</w:t>
      </w:r>
      <w:r>
        <w:rPr>
          <w:rFonts w:hint="eastAsia" w:ascii="仿宋_GB2312" w:hAnsi="仿宋_GB2312" w:eastAsia="仿宋_GB2312" w:cs="仿宋_GB2312"/>
          <w:sz w:val="32"/>
          <w:szCs w:val="32"/>
        </w:rPr>
        <w:t>中</w:t>
      </w:r>
      <w:r>
        <w:rPr>
          <w:rFonts w:hint="eastAsia" w:ascii="仿宋_GB2312" w:hAnsi="仿宋_GB2312" w:eastAsia="仿宋_GB2312" w:cs="仿宋_GB2312"/>
          <w:sz w:val="32"/>
          <w:szCs w:val="32"/>
          <w:lang w:eastAsia="zh-CN"/>
        </w:rPr>
        <w:t>心</w:t>
      </w:r>
      <w:r>
        <w:rPr>
          <w:rFonts w:hint="default" w:ascii="仿宋_GB2312" w:hAnsi="微软雅黑" w:eastAsia="仿宋_GB2312" w:cs="仿宋_GB2312"/>
          <w:i w:val="0"/>
          <w:iCs w:val="0"/>
          <w:caps w:val="0"/>
          <w:color w:val="404040"/>
          <w:spacing w:val="0"/>
          <w:sz w:val="31"/>
          <w:szCs w:val="31"/>
          <w:shd w:val="clear" w:fill="FFFFFF"/>
        </w:rPr>
        <w:t>领导高度重视政府信息公开工作，成立政府信息公开工作领导小组，</w:t>
      </w:r>
      <w:r>
        <w:rPr>
          <w:rFonts w:hint="default" w:ascii="仿宋_GB2312" w:hAnsi="微软雅黑" w:eastAsia="仿宋_GB2312" w:cs="仿宋_GB2312"/>
          <w:i w:val="0"/>
          <w:iCs w:val="0"/>
          <w:caps w:val="0"/>
          <w:color w:val="000000"/>
          <w:spacing w:val="0"/>
          <w:sz w:val="31"/>
          <w:szCs w:val="31"/>
          <w:shd w:val="clear" w:fill="FFFFFF"/>
        </w:rPr>
        <w:t>组长由中心主要领导担任，</w:t>
      </w:r>
      <w:r>
        <w:rPr>
          <w:rFonts w:hint="eastAsia" w:ascii="仿宋_GB2312" w:hAnsi="微软雅黑" w:eastAsia="仿宋_GB2312" w:cs="仿宋_GB2312"/>
          <w:i w:val="0"/>
          <w:iCs w:val="0"/>
          <w:caps w:val="0"/>
          <w:color w:val="404040"/>
          <w:spacing w:val="0"/>
          <w:sz w:val="31"/>
          <w:szCs w:val="31"/>
          <w:shd w:val="clear" w:fill="FFFFFF"/>
          <w:lang w:eastAsia="zh-CN"/>
        </w:rPr>
        <w:t>法制科</w:t>
      </w:r>
      <w:r>
        <w:rPr>
          <w:rFonts w:hint="default" w:ascii="仿宋_GB2312" w:hAnsi="微软雅黑" w:eastAsia="仿宋_GB2312" w:cs="仿宋_GB2312"/>
          <w:i w:val="0"/>
          <w:iCs w:val="0"/>
          <w:caps w:val="0"/>
          <w:color w:val="404040"/>
          <w:spacing w:val="0"/>
          <w:sz w:val="31"/>
          <w:szCs w:val="31"/>
          <w:shd w:val="clear" w:fill="FFFFFF"/>
        </w:rPr>
        <w:t>负责业务工作。主要领导多次听取信息报送、信息公开、依申请公开情况汇报，对政府信息公开工作进行研究和部署</w:t>
      </w:r>
      <w:r>
        <w:rPr>
          <w:rFonts w:hint="eastAsia" w:ascii="仿宋_GB2312" w:hAnsi="微软雅黑" w:eastAsia="仿宋_GB2312" w:cs="仿宋_GB2312"/>
          <w:i w:val="0"/>
          <w:iCs w:val="0"/>
          <w:caps w:val="0"/>
          <w:color w:val="404040"/>
          <w:spacing w:val="0"/>
          <w:sz w:val="31"/>
          <w:szCs w:val="31"/>
          <w:shd w:val="clear" w:fill="FFFFFF"/>
          <w:lang w:eastAsia="zh-CN"/>
        </w:rPr>
        <w:t>。中心</w:t>
      </w:r>
      <w:r>
        <w:rPr>
          <w:rFonts w:hint="eastAsia" w:ascii="仿宋_GB2312" w:hAnsi="仿宋_GB2312" w:eastAsia="仿宋_GB2312" w:cs="仿宋_GB2312"/>
          <w:color w:val="333333"/>
          <w:sz w:val="32"/>
          <w:szCs w:val="32"/>
          <w:lang w:val="en-US" w:eastAsia="zh-CN"/>
        </w:rPr>
        <w:t>聚焦企业群众关切，</w:t>
      </w:r>
      <w:r>
        <w:rPr>
          <w:rFonts w:hint="eastAsia" w:ascii="仿宋_GB2312" w:hAnsi="仿宋_GB2312" w:eastAsia="仿宋_GB2312" w:cs="仿宋_GB2312"/>
          <w:color w:val="333333"/>
          <w:sz w:val="32"/>
          <w:szCs w:val="32"/>
        </w:rPr>
        <w:t>按</w:t>
      </w:r>
      <w:r>
        <w:rPr>
          <w:rFonts w:hint="eastAsia" w:ascii="仿宋_GB2312" w:hAnsi="仿宋_GB2312" w:eastAsia="仿宋_GB2312" w:cs="仿宋_GB2312"/>
          <w:color w:val="333333"/>
          <w:sz w:val="32"/>
          <w:szCs w:val="32"/>
          <w:lang w:eastAsia="zh-CN"/>
        </w:rPr>
        <w:t>照</w:t>
      </w:r>
      <w:r>
        <w:rPr>
          <w:rFonts w:hint="eastAsia" w:ascii="仿宋_GB2312" w:hAnsi="仿宋_GB2312" w:eastAsia="仿宋_GB2312" w:cs="仿宋_GB2312"/>
          <w:color w:val="333333"/>
          <w:sz w:val="32"/>
          <w:szCs w:val="32"/>
        </w:rPr>
        <w:t>市</w:t>
      </w:r>
      <w:r>
        <w:rPr>
          <w:rFonts w:hint="eastAsia" w:ascii="仿宋_GB2312" w:hAnsi="仿宋_GB2312" w:eastAsia="仿宋_GB2312" w:cs="仿宋_GB2312"/>
          <w:color w:val="333333"/>
          <w:sz w:val="32"/>
          <w:szCs w:val="32"/>
          <w:lang w:eastAsia="zh-CN"/>
        </w:rPr>
        <w:t>、区工作</w:t>
      </w:r>
      <w:r>
        <w:rPr>
          <w:rFonts w:hint="eastAsia" w:ascii="仿宋_GB2312" w:hAnsi="仿宋_GB2312" w:eastAsia="仿宋_GB2312" w:cs="仿宋_GB2312"/>
          <w:color w:val="333333"/>
          <w:sz w:val="32"/>
          <w:szCs w:val="32"/>
        </w:rPr>
        <w:t>要求向社会公开市区政府重点任务、重要民生实事项目、政府绩效任务</w:t>
      </w:r>
      <w:r>
        <w:rPr>
          <w:rFonts w:hint="eastAsia" w:ascii="仿宋_GB2312" w:hAnsi="仿宋_GB2312" w:eastAsia="仿宋_GB2312" w:cs="仿宋_GB2312"/>
          <w:color w:val="333333"/>
          <w:sz w:val="32"/>
          <w:szCs w:val="32"/>
          <w:lang w:eastAsia="zh-CN"/>
        </w:rPr>
        <w:t>落实情况等内容，</w:t>
      </w:r>
      <w:r>
        <w:rPr>
          <w:rFonts w:hint="eastAsia" w:ascii="仿宋_GB2312" w:hAnsi="仿宋_GB2312" w:eastAsia="仿宋_GB2312" w:cs="仿宋_GB2312"/>
          <w:i w:val="0"/>
          <w:iCs w:val="0"/>
          <w:caps w:val="0"/>
          <w:color w:val="404040"/>
          <w:spacing w:val="0"/>
          <w:sz w:val="32"/>
          <w:szCs w:val="32"/>
          <w:shd w:val="clear" w:fill="FFFFFF"/>
        </w:rPr>
        <w:t>对政府信息公开工作进行研究和部署，明确工作职责，健全工作流程，充分利用各种载体，认真对待每一条信息公开，</w:t>
      </w:r>
      <w:r>
        <w:rPr>
          <w:rFonts w:hint="default" w:ascii="仿宋_GB2312" w:hAnsi="微软雅黑" w:eastAsia="仿宋_GB2312" w:cs="仿宋_GB2312"/>
          <w:i w:val="0"/>
          <w:iCs w:val="0"/>
          <w:caps w:val="0"/>
          <w:color w:val="404040"/>
          <w:spacing w:val="0"/>
          <w:sz w:val="31"/>
          <w:szCs w:val="31"/>
          <w:shd w:val="clear" w:fill="FFFFFF"/>
        </w:rPr>
        <w:t>力促各项工作有序推进。</w:t>
      </w:r>
    </w:p>
    <w:p>
      <w:pPr>
        <w:ind w:firstLine="640" w:firstLineChars="200"/>
        <w:rPr>
          <w:rFonts w:hint="eastAsia"/>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西</w:t>
      </w:r>
      <w:r>
        <w:rPr>
          <w:rFonts w:hint="eastAsia" w:ascii="楷体_GB2312" w:hAnsi="楷体_GB2312" w:eastAsia="楷体_GB2312" w:cs="楷体_GB2312"/>
          <w:sz w:val="32"/>
          <w:szCs w:val="32"/>
        </w:rPr>
        <w:t>城区202</w:t>
      </w: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年政务公开工作要点》落实情况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中心</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西</w:t>
      </w:r>
      <w:r>
        <w:rPr>
          <w:rFonts w:hint="eastAsia" w:ascii="仿宋_GB2312" w:hAnsi="仿宋_GB2312" w:eastAsia="仿宋_GB2312" w:cs="仿宋_GB2312"/>
          <w:sz w:val="32"/>
          <w:szCs w:val="32"/>
        </w:rPr>
        <w:t>城区202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年政务公开工作要点》</w:t>
      </w:r>
      <w:r>
        <w:rPr>
          <w:rFonts w:hint="eastAsia" w:ascii="仿宋_GB2312" w:hAnsi="仿宋_GB2312" w:eastAsia="仿宋_GB2312" w:cs="仿宋_GB2312"/>
          <w:sz w:val="32"/>
          <w:szCs w:val="32"/>
          <w:lang w:eastAsia="zh-CN"/>
        </w:rPr>
        <w:t>各项</w:t>
      </w:r>
      <w:r>
        <w:rPr>
          <w:rFonts w:hint="eastAsia" w:ascii="仿宋_GB2312" w:hAnsi="仿宋_GB2312" w:eastAsia="仿宋_GB2312" w:cs="仿宋_GB2312"/>
          <w:sz w:val="32"/>
          <w:szCs w:val="32"/>
        </w:rPr>
        <w:t>任务</w:t>
      </w:r>
      <w:r>
        <w:rPr>
          <w:rFonts w:hint="eastAsia" w:ascii="仿宋_GB2312" w:hAnsi="仿宋_GB2312" w:eastAsia="仿宋_GB2312" w:cs="仿宋_GB2312"/>
          <w:sz w:val="32"/>
          <w:szCs w:val="32"/>
          <w:lang w:eastAsia="zh-CN"/>
        </w:rPr>
        <w:t>优化工作程序、严格工作标准，高质高效开展工作</w:t>
      </w:r>
      <w:r>
        <w:rPr>
          <w:rFonts w:hint="eastAsia" w:ascii="仿宋_GB2312" w:hAnsi="仿宋_GB2312" w:eastAsia="仿宋_GB2312" w:cs="仿宋_GB2312"/>
          <w:sz w:val="32"/>
          <w:szCs w:val="32"/>
        </w:rPr>
        <w:t>。一是优化处置流程，缩短案件办理时限。在压实先行核实相关情况的基础上，缩短案件的办理时限，提高处置效率，对有联系方式的网民来信，各办理部门必须在第一时间联系来信人，对各类咨询的解释、解答和事项的办理力求准确、及时、妥善、到位，提升网民满意度｡二是强化</w:t>
      </w:r>
      <w:r>
        <w:rPr>
          <w:rFonts w:hint="eastAsia" w:ascii="仿宋_GB2312" w:hAnsi="仿宋_GB2312" w:eastAsia="仿宋_GB2312" w:cs="仿宋_GB2312"/>
          <w:sz w:val="32"/>
          <w:szCs w:val="32"/>
          <w:lang w:eastAsia="zh-CN"/>
        </w:rPr>
        <w:t>工作标准</w:t>
      </w:r>
      <w:r>
        <w:rPr>
          <w:rFonts w:hint="eastAsia" w:ascii="仿宋_GB2312" w:hAnsi="仿宋_GB2312" w:eastAsia="仿宋_GB2312" w:cs="仿宋_GB2312"/>
          <w:sz w:val="32"/>
          <w:szCs w:val="32"/>
        </w:rPr>
        <w:t>，提升案件办理质量。网上公开回复不仅在文字上要严谨，还要符合各项法规政策。要求回复意见必须</w:t>
      </w:r>
      <w:r>
        <w:rPr>
          <w:rFonts w:hint="eastAsia" w:ascii="仿宋_GB2312" w:hAnsi="仿宋_GB2312" w:eastAsia="仿宋_GB2312" w:cs="仿宋_GB2312"/>
          <w:sz w:val="32"/>
          <w:szCs w:val="32"/>
          <w:lang w:eastAsia="zh-CN"/>
        </w:rPr>
        <w:t>严格</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标准进行结案，对于不符合标准的</w:t>
      </w:r>
      <w:r>
        <w:rPr>
          <w:rFonts w:hint="eastAsia" w:ascii="仿宋_GB2312" w:hAnsi="仿宋_GB2312" w:eastAsia="仿宋_GB2312" w:cs="仿宋_GB2312"/>
          <w:sz w:val="32"/>
          <w:szCs w:val="32"/>
          <w:lang w:eastAsia="zh-CN"/>
        </w:rPr>
        <w:t>案件</w:t>
      </w:r>
      <w:r>
        <w:rPr>
          <w:rFonts w:hint="eastAsia" w:ascii="仿宋_GB2312" w:hAnsi="仿宋_GB2312" w:eastAsia="仿宋_GB2312" w:cs="仿宋_GB2312"/>
          <w:sz w:val="32"/>
          <w:szCs w:val="32"/>
        </w:rPr>
        <w:t>坚决退回办理部门重新核实处理，促进了案件办理的规范化，提升了案件的办理质量。</w:t>
      </w:r>
      <w:r>
        <w:rPr>
          <w:rFonts w:hint="eastAsia" w:ascii="仿宋_GB2312" w:hAnsi="仿宋_GB2312" w:eastAsia="仿宋_GB2312" w:cs="仿宋_GB2312"/>
          <w:sz w:val="32"/>
          <w:szCs w:val="32"/>
          <w:lang w:eastAsia="zh-CN"/>
        </w:rPr>
        <w:t>三是做好“接诉即办情况信息公开。中心以“我是西城热线人</w:t>
      </w:r>
      <w:r>
        <w:rPr>
          <w:rFonts w:hint="eastAsia" w:ascii="仿宋_GB2312" w:hAnsi="仿宋_GB2312" w:eastAsia="仿宋_GB2312" w:cs="仿宋_GB2312"/>
          <w:sz w:val="32"/>
          <w:szCs w:val="32"/>
          <w:lang w:val="en-US" w:eastAsia="zh-CN"/>
        </w:rPr>
        <w:t xml:space="preserve"> 我为二十大添光彩</w:t>
      </w:r>
      <w:r>
        <w:rPr>
          <w:rFonts w:hint="eastAsia" w:ascii="仿宋_GB2312" w:hAnsi="仿宋_GB2312" w:eastAsia="仿宋_GB2312" w:cs="仿宋_GB2312"/>
          <w:sz w:val="32"/>
          <w:szCs w:val="32"/>
          <w:lang w:eastAsia="zh-CN"/>
        </w:rPr>
        <w:t>”为主题举办“我与接诉即办的故事”巡回宣讲活动，</w:t>
      </w:r>
      <w:r>
        <w:rPr>
          <w:rFonts w:hint="eastAsia" w:ascii="仿宋_GB2312" w:hAnsi="仿宋_GB2312" w:eastAsia="仿宋_GB2312" w:cs="仿宋_GB2312"/>
          <w:sz w:val="32"/>
          <w:szCs w:val="32"/>
        </w:rPr>
        <w:t>连续组织开展了</w:t>
      </w:r>
      <w:r>
        <w:rPr>
          <w:rFonts w:hint="eastAsia" w:ascii="仿宋_GB2312" w:hAnsi="仿宋_GB2312" w:eastAsia="仿宋_GB2312" w:cs="仿宋_GB2312"/>
          <w:sz w:val="32"/>
          <w:szCs w:val="32"/>
          <w:lang w:val="en-US" w:eastAsia="zh-CN"/>
        </w:rPr>
        <w:t>15场</w:t>
      </w:r>
      <w:r>
        <w:rPr>
          <w:rFonts w:hint="eastAsia" w:ascii="仿宋_GB2312" w:hAnsi="仿宋_GB2312" w:eastAsia="仿宋_GB2312" w:cs="仿宋_GB2312"/>
          <w:sz w:val="32"/>
          <w:szCs w:val="32"/>
          <w:lang w:eastAsia="zh-CN"/>
        </w:rPr>
        <w:t>巡回宣讲活动，</w:t>
      </w:r>
      <w:r>
        <w:rPr>
          <w:rFonts w:hint="eastAsia" w:ascii="仿宋_GB2312" w:hAnsi="仿宋_GB2312" w:eastAsia="仿宋_GB2312" w:cs="仿宋_GB2312"/>
          <w:sz w:val="32"/>
          <w:szCs w:val="32"/>
          <w:lang w:val="en-US" w:eastAsia="zh-CN"/>
        </w:rPr>
        <w:t>33人</w:t>
      </w:r>
      <w:r>
        <w:rPr>
          <w:rFonts w:hint="eastAsia" w:ascii="仿宋_GB2312" w:hAnsi="仿宋_GB2312" w:eastAsia="仿宋_GB2312" w:cs="仿宋_GB2312"/>
          <w:sz w:val="32"/>
          <w:szCs w:val="32"/>
          <w:lang w:eastAsia="zh-CN"/>
        </w:rPr>
        <w:t>参加宣讲</w:t>
      </w:r>
      <w:r>
        <w:rPr>
          <w:rFonts w:hint="eastAsia" w:ascii="仿宋_GB2312" w:hAnsi="仿宋_GB2312" w:eastAsia="仿宋_GB2312" w:cs="仿宋_GB2312"/>
          <w:sz w:val="32"/>
          <w:szCs w:val="32"/>
          <w:lang w:val="en-US" w:eastAsia="zh-CN"/>
        </w:rPr>
        <w:t>，受众超过1000多人；</w:t>
      </w:r>
      <w:r>
        <w:rPr>
          <w:rFonts w:hint="eastAsia" w:ascii="仿宋_GB2312" w:eastAsia="仿宋_GB2312" w:cstheme="minorBidi"/>
          <w:b w:val="0"/>
          <w:kern w:val="2"/>
          <w:sz w:val="32"/>
          <w:szCs w:val="32"/>
          <w:lang w:val="en-US" w:eastAsia="zh-CN" w:bidi="ar-SA"/>
        </w:rPr>
        <w:t>根据北京市“</w:t>
      </w:r>
      <w:r>
        <w:rPr>
          <w:rFonts w:hint="eastAsia" w:ascii="仿宋_GB2312" w:eastAsia="仿宋_GB2312" w:hAnsiTheme="minorHAnsi" w:cstheme="minorBidi"/>
          <w:b w:val="0"/>
          <w:kern w:val="2"/>
          <w:sz w:val="32"/>
          <w:szCs w:val="32"/>
          <w:lang w:val="en-US" w:eastAsia="zh-CN" w:bidi="ar-SA"/>
        </w:rPr>
        <w:t>每月一题”推动解决重点民生诉求</w:t>
      </w:r>
      <w:r>
        <w:rPr>
          <w:rFonts w:hint="eastAsia" w:ascii="仿宋_GB2312" w:eastAsia="仿宋_GB2312" w:cstheme="minorBidi"/>
          <w:b w:val="0"/>
          <w:kern w:val="2"/>
          <w:sz w:val="32"/>
          <w:szCs w:val="32"/>
          <w:lang w:val="en-US" w:eastAsia="zh-CN" w:bidi="ar-SA"/>
        </w:rPr>
        <w:t>总体工作要求，中心</w:t>
      </w:r>
      <w:r>
        <w:rPr>
          <w:rFonts w:hint="eastAsia" w:ascii="仿宋_GB2312" w:eastAsia="仿宋_GB2312" w:hAnsiTheme="minorHAnsi" w:cstheme="minorBidi"/>
          <w:b w:val="0"/>
          <w:kern w:val="2"/>
          <w:sz w:val="32"/>
          <w:szCs w:val="32"/>
          <w:lang w:val="en-US" w:eastAsia="zh-CN" w:bidi="ar-SA"/>
        </w:rPr>
        <w:t>结合实际形成《2022年西城区接诉即办攻坚克难20题+工作</w:t>
      </w:r>
      <w:r>
        <w:rPr>
          <w:rFonts w:hint="eastAsia" w:ascii="仿宋_GB2312" w:eastAsia="仿宋_GB2312" w:cstheme="minorBidi"/>
          <w:b w:val="0"/>
          <w:kern w:val="2"/>
          <w:sz w:val="32"/>
          <w:szCs w:val="32"/>
          <w:lang w:val="en-US" w:eastAsia="zh-CN" w:bidi="ar-SA"/>
        </w:rPr>
        <w:t>清单</w:t>
      </w:r>
      <w:r>
        <w:rPr>
          <w:rFonts w:hint="eastAsia" w:ascii="仿宋_GB2312" w:eastAsia="仿宋_GB2312" w:hAnsiTheme="minorHAnsi" w:cstheme="minorBidi"/>
          <w:b w:val="0"/>
          <w:kern w:val="2"/>
          <w:sz w:val="32"/>
          <w:szCs w:val="32"/>
          <w:lang w:val="en-US" w:eastAsia="zh-CN" w:bidi="ar-SA"/>
        </w:rPr>
        <w:t>》，</w:t>
      </w:r>
      <w:r>
        <w:rPr>
          <w:rFonts w:hint="eastAsia" w:ascii="仿宋_GB2312" w:eastAsia="仿宋_GB2312" w:cstheme="minorBidi"/>
          <w:b w:val="0"/>
          <w:kern w:val="2"/>
          <w:sz w:val="32"/>
          <w:szCs w:val="32"/>
          <w:lang w:val="en-US" w:eastAsia="zh-CN" w:bidi="ar-SA"/>
        </w:rPr>
        <w:t>每月选取1-2个具体问题，明确责任单位、形成工作方案、狠抓问题治理、推动难题解决。四是畅通政策咨询渠道，进一步加强中心热线系统建设，不断充实完善热线业务知识库建设，推动网络平台业务知识库汇聚融合。</w:t>
      </w:r>
    </w:p>
    <w:p>
      <w:pPr>
        <w:ind w:firstLine="640" w:firstLineChars="200"/>
        <w:rPr>
          <w:rFonts w:hint="eastAsia" w:ascii="仿宋" w:hAnsi="仿宋" w:eastAsia="仿宋" w:cs="仿宋"/>
          <w:sz w:val="32"/>
          <w:szCs w:val="32"/>
          <w:lang w:eastAsia="zh-CN"/>
        </w:rPr>
      </w:pPr>
      <w:r>
        <w:rPr>
          <w:rFonts w:hint="eastAsia" w:ascii="楷体_GB2312" w:hAnsi="楷体_GB2312" w:eastAsia="楷体_GB2312" w:cs="楷体_GB2312"/>
          <w:sz w:val="32"/>
          <w:szCs w:val="32"/>
          <w:lang w:eastAsia="zh-CN"/>
        </w:rPr>
        <w:t>（三）主动公开</w:t>
      </w:r>
    </w:p>
    <w:p>
      <w:pPr>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加强完善信息公开相关工作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及时调整更新中心政府信息公开指南，修订完善指南内容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修改并及时公开相关内容，确保各项工作流程同步接轨。</w:t>
      </w:r>
      <w:r>
        <w:rPr>
          <w:rFonts w:hint="eastAsia" w:ascii="仿宋_GB2312" w:hAnsi="仿宋_GB2312" w:eastAsia="仿宋_GB2312" w:cs="仿宋_GB2312"/>
          <w:sz w:val="32"/>
          <w:szCs w:val="32"/>
          <w:lang w:val="en-US" w:eastAsia="zh-CN"/>
        </w:rPr>
        <w:t>畅通政策咨询渠道。公开中心对外联系电话，加强自查检查，确保联系电话畅通有效。</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年城指中心未制定新规章、规范性文件，无形成许可、处罚、收费等处理决定信息。</w:t>
      </w:r>
      <w:r>
        <w:rPr>
          <w:rFonts w:hint="eastAsia" w:ascii="仿宋_GB2312" w:hAnsi="仿宋_GB2312" w:eastAsia="仿宋_GB2312" w:cs="仿宋_GB2312"/>
          <w:sz w:val="32"/>
          <w:szCs w:val="32"/>
          <w:lang w:eastAsia="zh-CN"/>
        </w:rPr>
        <w:t>西</w:t>
      </w:r>
      <w:r>
        <w:rPr>
          <w:rFonts w:hint="eastAsia" w:ascii="仿宋_GB2312" w:hAnsi="仿宋_GB2312" w:eastAsia="仿宋_GB2312" w:cs="仿宋_GB2312"/>
          <w:sz w:val="32"/>
          <w:szCs w:val="32"/>
        </w:rPr>
        <w:t>城网站全年在机构职能、规划计划、通知公告、监督员风采、网格监督、政府信息公开栏目及时主动公开发布信息</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lang w:eastAsia="zh-CN"/>
        </w:rPr>
        <w:t>篇</w:t>
      </w:r>
      <w:r>
        <w:rPr>
          <w:rFonts w:hint="eastAsia" w:ascii="仿宋_GB2312" w:hAnsi="仿宋_GB2312" w:eastAsia="仿宋_GB2312" w:cs="仿宋_GB2312"/>
          <w:color w:val="auto"/>
          <w:sz w:val="32"/>
          <w:szCs w:val="32"/>
        </w:rPr>
        <w:t>。</w:t>
      </w:r>
    </w:p>
    <w:p>
      <w:pPr>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（四）依申请公开</w:t>
      </w:r>
    </w:p>
    <w:p>
      <w:pPr>
        <w:ind w:firstLine="640" w:firstLineChars="200"/>
        <w:rPr>
          <w:rFonts w:hint="default" w:ascii="仿宋" w:hAnsi="仿宋" w:eastAsia="仿宋" w:cs="仿宋"/>
          <w:color w:val="FF0000"/>
          <w:sz w:val="32"/>
          <w:szCs w:val="32"/>
          <w:lang w:val="en-US" w:eastAsia="zh-CN"/>
        </w:rPr>
      </w:pPr>
      <w:r>
        <w:rPr>
          <w:rFonts w:hint="eastAsia" w:ascii="仿宋" w:hAnsi="仿宋" w:eastAsia="仿宋" w:cs="仿宋"/>
          <w:sz w:val="32"/>
          <w:szCs w:val="32"/>
          <w:lang w:val="en-US" w:eastAsia="zh-CN"/>
        </w:rPr>
        <w:t>2022年中心</w:t>
      </w:r>
      <w:r>
        <w:rPr>
          <w:rFonts w:hint="eastAsia" w:ascii="仿宋" w:hAnsi="仿宋" w:eastAsia="仿宋" w:cs="仿宋"/>
          <w:sz w:val="32"/>
          <w:szCs w:val="32"/>
        </w:rPr>
        <w:t>及时妥善处理公众直接向中心提出和区政务服务局依申请公开转办的政府信息依申请公开事项。严格按工作要求及流程，做好中心依申请信息公开案件的办理、登记、回复及后续的复议、上诉工作。</w:t>
      </w:r>
      <w:r>
        <w:rPr>
          <w:rFonts w:hint="eastAsia" w:ascii="仿宋" w:hAnsi="仿宋" w:eastAsia="仿宋" w:cs="仿宋"/>
          <w:sz w:val="32"/>
          <w:szCs w:val="32"/>
          <w:lang w:val="en-US" w:eastAsia="zh-CN"/>
        </w:rPr>
        <w:t>2022年中心无依申请公开案件，</w:t>
      </w:r>
      <w:r>
        <w:rPr>
          <w:rFonts w:hint="default" w:ascii="仿宋_GB2312" w:hAnsi="微软雅黑" w:eastAsia="仿宋_GB2312" w:cs="仿宋_GB2312"/>
          <w:i w:val="0"/>
          <w:iCs w:val="0"/>
          <w:caps w:val="0"/>
          <w:color w:val="404040"/>
          <w:spacing w:val="0"/>
          <w:sz w:val="32"/>
          <w:szCs w:val="32"/>
          <w:shd w:val="clear" w:fill="FFFFFF"/>
        </w:rPr>
        <w:t>未产生因信息公开引发的行政复议、行政诉讼案件。</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（五）政府信息管理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坚持公开透明、公平公正的原则，规范政府信息公开内容，突出政府信息公开重点，坚持把政府信息公开作为建设透明政府的一项重要工作。始终贯彻“谁公开谁审查，先审查后公开”的原则，属于主动公开的按不同信息的公开时限要求，通过数字</w:t>
      </w:r>
      <w:r>
        <w:rPr>
          <w:rFonts w:hint="eastAsia" w:ascii="仿宋_GB2312" w:hAnsi="仿宋_GB2312" w:eastAsia="仿宋_GB2312" w:cs="仿宋_GB2312"/>
          <w:sz w:val="32"/>
          <w:szCs w:val="32"/>
          <w:lang w:eastAsia="zh-CN"/>
        </w:rPr>
        <w:t>西</w:t>
      </w:r>
      <w:r>
        <w:rPr>
          <w:rFonts w:hint="eastAsia" w:ascii="仿宋_GB2312" w:hAnsi="仿宋_GB2312" w:eastAsia="仿宋_GB2312" w:cs="仿宋_GB2312"/>
          <w:sz w:val="32"/>
          <w:szCs w:val="32"/>
        </w:rPr>
        <w:t>城网站等规定的途径进行主动公开。进一步规范区内信息收集报送机制，严格按照有关保密法规的要求，逐级填写审核《西城区政府信息发布保密审查单》，对拟公开的政府信息进行保密审查，没有发生泄密事件。</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（六）信息公开平台建设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聚焦资源整合、规范管理，做好微信公众号、网站等外宣平台内容的制作更新和系统维护，拓宽信息报送范围、优化内容，提高整体质量。</w:t>
      </w:r>
      <w:r>
        <w:rPr>
          <w:rFonts w:hint="eastAsia" w:ascii="仿宋_GB2312" w:hAnsi="仿宋_GB2312" w:eastAsia="仿宋_GB2312" w:cs="仿宋_GB2312"/>
          <w:sz w:val="32"/>
          <w:szCs w:val="32"/>
          <w:lang w:eastAsia="zh-CN"/>
        </w:rPr>
        <w:t>中心通过</w:t>
      </w:r>
      <w:r>
        <w:rPr>
          <w:rFonts w:hint="eastAsia" w:ascii="仿宋_GB2312" w:hAnsi="仿宋_GB2312" w:eastAsia="仿宋_GB2312" w:cs="仿宋_GB2312"/>
          <w:sz w:val="32"/>
          <w:szCs w:val="32"/>
          <w:lang w:val="en-US" w:eastAsia="zh-CN"/>
        </w:rPr>
        <w:t>“北京西城”公众号、《北京西城报》、各街道微信公众号多个载体对进行宣传报到，受众几万人。</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（七）教育培训和监督保障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合政务服务局做好各项政务公开工作，积极参加区政务服务局组织的各类业务培训，并加强中心业务科室之前交流、培训，共同提高信息撰写能力。对网站检查、政务公开检查评估发现的问题认真做好整改并举一反三，全面提升政府信息公开和政务公开质量水平。</w:t>
      </w:r>
    </w:p>
    <w:p>
      <w:pPr>
        <w:pStyle w:val="2"/>
        <w:rPr>
          <w:rFonts w:hint="eastAsia" w:ascii="仿宋" w:hAnsi="仿宋" w:eastAsia="仿宋" w:cs="仿宋"/>
          <w:sz w:val="32"/>
          <w:szCs w:val="32"/>
        </w:rPr>
      </w:pPr>
      <w:r>
        <w:rPr>
          <w:rFonts w:hint="eastAsia" w:eastAsia="宋体"/>
          <w:lang w:val="en-US" w:eastAsia="zh-CN"/>
        </w:rPr>
        <w:t xml:space="preserve"> </w:t>
      </w:r>
      <w:r>
        <w:rPr>
          <w:rFonts w:hint="eastAsia" w:ascii="黑体" w:hAnsi="黑体" w:eastAsia="黑体" w:cs="黑体"/>
          <w:sz w:val="32"/>
          <w:szCs w:val="32"/>
        </w:rPr>
        <w:t>二、主动公开政府信息情况</w:t>
      </w:r>
    </w:p>
    <w:tbl>
      <w:tblPr>
        <w:tblStyle w:val="6"/>
        <w:tblW w:w="9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40" w:hRule="atLeast"/>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信息内容</w:t>
            </w:r>
          </w:p>
        </w:tc>
        <w:tc>
          <w:tcPr>
            <w:tcW w:w="2435" w:type="dxa"/>
            <w:tcBorders>
              <w:top w:val="single" w:color="auto" w:sz="8" w:space="0"/>
              <w:left w:val="nil"/>
              <w:bottom w:val="single" w:color="auto" w:sz="8" w:space="0"/>
              <w:right w:val="single" w:color="auto" w:sz="8" w:space="0"/>
            </w:tcBorders>
            <w:shd w:val="clear" w:color="auto" w:fill="DDEBF7"/>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本年制发件数</w:t>
            </w:r>
          </w:p>
        </w:tc>
        <w:tc>
          <w:tcPr>
            <w:tcW w:w="2435" w:type="dxa"/>
            <w:tcBorders>
              <w:top w:val="single" w:color="auto" w:sz="8" w:space="0"/>
              <w:left w:val="nil"/>
              <w:bottom w:val="single" w:color="auto" w:sz="8" w:space="0"/>
              <w:right w:val="single" w:color="auto" w:sz="8" w:space="0"/>
            </w:tcBorders>
            <w:shd w:val="clear" w:color="auto" w:fill="DDEBF7"/>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本年废止件数</w:t>
            </w:r>
          </w:p>
        </w:tc>
        <w:tc>
          <w:tcPr>
            <w:tcW w:w="2435" w:type="dxa"/>
            <w:tcBorders>
              <w:top w:val="single" w:color="auto" w:sz="8" w:space="0"/>
              <w:left w:val="nil"/>
              <w:bottom w:val="single" w:color="auto" w:sz="8" w:space="0"/>
              <w:right w:val="single" w:color="auto" w:sz="8" w:space="0"/>
            </w:tcBorders>
            <w:shd w:val="clear" w:color="auto" w:fill="DDEBF7"/>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现行有效件</w:t>
            </w:r>
            <w:r>
              <w:rPr>
                <w:rFonts w:hint="eastAsia" w:ascii="宋体" w:hAnsi="宋体" w:eastAsia="宋体" w:cs="宋体"/>
                <w:i w:val="0"/>
                <w:iCs w:val="0"/>
                <w:caps w:val="0"/>
                <w:color w:val="404040"/>
                <w:spacing w:val="0"/>
                <w:sz w:val="19"/>
                <w:szCs w:val="19"/>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sz w:val="19"/>
                <w:szCs w:val="19"/>
              </w:rPr>
              <w:t>规章</w:t>
            </w:r>
          </w:p>
        </w:tc>
        <w:tc>
          <w:tcPr>
            <w:tcW w:w="243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sz w:val="19"/>
                <w:szCs w:val="19"/>
              </w:rPr>
              <w:t>　　0</w:t>
            </w:r>
          </w:p>
        </w:tc>
        <w:tc>
          <w:tcPr>
            <w:tcW w:w="243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sz w:val="19"/>
                <w:szCs w:val="19"/>
              </w:rPr>
              <w:t>　0</w:t>
            </w:r>
          </w:p>
        </w:tc>
        <w:tc>
          <w:tcPr>
            <w:tcW w:w="243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Calibri" w:hAnsi="Calibri" w:eastAsia="宋体" w:cs="Calibri"/>
                <w:i w:val="0"/>
                <w:iCs w:val="0"/>
                <w:caps w:val="0"/>
                <w:color w:val="404040"/>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sz w:val="19"/>
                <w:szCs w:val="19"/>
              </w:rPr>
              <w:t>行政规范性文件</w:t>
            </w:r>
          </w:p>
        </w:tc>
        <w:tc>
          <w:tcPr>
            <w:tcW w:w="243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sz w:val="19"/>
                <w:szCs w:val="19"/>
              </w:rPr>
              <w:t>　　0</w:t>
            </w:r>
          </w:p>
        </w:tc>
        <w:tc>
          <w:tcPr>
            <w:tcW w:w="243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sz w:val="19"/>
                <w:szCs w:val="19"/>
              </w:rPr>
              <w:t>　0</w:t>
            </w:r>
          </w:p>
        </w:tc>
        <w:tc>
          <w:tcPr>
            <w:tcW w:w="243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eastAsia="宋体" w:cs="Calibri"/>
                <w:i w:val="0"/>
                <w:iCs w:val="0"/>
                <w:caps w:val="0"/>
                <w:color w:val="404040"/>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信息内容</w:t>
            </w:r>
          </w:p>
        </w:tc>
        <w:tc>
          <w:tcPr>
            <w:tcW w:w="7305" w:type="dxa"/>
            <w:gridSpan w:val="3"/>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sz w:val="19"/>
                <w:szCs w:val="19"/>
              </w:rPr>
              <w:t>行政许可</w:t>
            </w:r>
          </w:p>
        </w:tc>
        <w:tc>
          <w:tcPr>
            <w:tcW w:w="7305" w:type="dxa"/>
            <w:gridSpan w:val="3"/>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eastAsia="宋体" w:cs="Calibri"/>
                <w:i w:val="0"/>
                <w:iCs w:val="0"/>
                <w:caps w:val="0"/>
                <w:color w:val="404040"/>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iCs w:val="0"/>
                <w:caps w:val="0"/>
                <w:color w:val="000000"/>
                <w:spacing w:val="0"/>
                <w:sz w:val="19"/>
                <w:szCs w:val="19"/>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iCs w:val="0"/>
                <w:caps w:val="0"/>
                <w:color w:val="000000"/>
                <w:spacing w:val="0"/>
                <w:sz w:val="19"/>
                <w:szCs w:val="19"/>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sz w:val="19"/>
                <w:szCs w:val="19"/>
              </w:rPr>
              <w:t>行政处罚</w:t>
            </w:r>
          </w:p>
        </w:tc>
        <w:tc>
          <w:tcPr>
            <w:tcW w:w="7305" w:type="dxa"/>
            <w:gridSpan w:val="3"/>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sz w:val="19"/>
                <w:szCs w:val="19"/>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sz w:val="19"/>
                <w:szCs w:val="19"/>
              </w:rPr>
              <w:t>行政强制</w:t>
            </w:r>
          </w:p>
        </w:tc>
        <w:tc>
          <w:tcPr>
            <w:tcW w:w="7305" w:type="dxa"/>
            <w:gridSpan w:val="3"/>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sz w:val="19"/>
                <w:szCs w:val="19"/>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信息内容</w:t>
            </w:r>
          </w:p>
        </w:tc>
        <w:tc>
          <w:tcPr>
            <w:tcW w:w="7305" w:type="dxa"/>
            <w:gridSpan w:val="3"/>
            <w:tcBorders>
              <w:top w:val="nil"/>
              <w:left w:val="nil"/>
              <w:bottom w:val="single" w:color="auto" w:sz="8" w:space="0"/>
              <w:right w:val="single" w:color="000000" w:sz="8" w:space="0"/>
            </w:tcBorders>
            <w:shd w:val="clear" w:color="auto" w:fill="DDEBF7"/>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sz w:val="19"/>
                <w:szCs w:val="19"/>
              </w:rPr>
              <w:t>行政事业性收费</w:t>
            </w:r>
          </w:p>
        </w:tc>
        <w:tc>
          <w:tcPr>
            <w:tcW w:w="7305" w:type="dxa"/>
            <w:gridSpan w:val="3"/>
            <w:tcBorders>
              <w:top w:val="nil"/>
              <w:left w:val="nil"/>
              <w:bottom w:val="single" w:color="auto" w:sz="8" w:space="0"/>
              <w:right w:val="single" w:color="000000"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宋体" w:hAnsi="宋体" w:eastAsia="宋体" w:cs="宋体"/>
                <w:i w:val="0"/>
                <w:iCs w:val="0"/>
                <w:caps w:val="0"/>
                <w:color w:val="404040"/>
                <w:spacing w:val="0"/>
                <w:sz w:val="24"/>
                <w:szCs w:val="24"/>
              </w:rPr>
              <w:t>0</w:t>
            </w:r>
          </w:p>
        </w:tc>
      </w:tr>
    </w:tbl>
    <w:p>
      <w:pPr>
        <w:rPr>
          <w:rFonts w:hint="eastAsia" w:ascii="仿宋" w:hAnsi="仿宋" w:eastAsia="仿宋" w:cs="仿宋"/>
          <w:sz w:val="32"/>
          <w:szCs w:val="32"/>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6"/>
        <w:tblW w:w="9748"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768"/>
        <w:gridCol w:w="943"/>
        <w:gridCol w:w="3220"/>
        <w:gridCol w:w="688"/>
        <w:gridCol w:w="688"/>
        <w:gridCol w:w="688"/>
        <w:gridCol w:w="688"/>
        <w:gridCol w:w="688"/>
        <w:gridCol w:w="688"/>
        <w:gridCol w:w="68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i w:val="0"/>
                <w:iCs w:val="0"/>
                <w:caps w:val="0"/>
                <w:color w:val="404040"/>
                <w:spacing w:val="0"/>
                <w:sz w:val="19"/>
                <w:szCs w:val="19"/>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404040"/>
                <w:spacing w:val="0"/>
                <w:sz w:val="19"/>
                <w:szCs w:val="19"/>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top w:w="0" w:type="dxa"/>
              <w:left w:w="108" w:type="dxa"/>
              <w:bottom w:w="0" w:type="dxa"/>
              <w:right w:w="108" w:type="dxa"/>
            </w:tcMar>
            <w:vAlign w:val="center"/>
          </w:tcPr>
          <w:p>
            <w:pPr>
              <w:rPr>
                <w:rFonts w:hint="eastAsia" w:ascii="微软雅黑" w:hAnsi="微软雅黑" w:eastAsia="微软雅黑" w:cs="微软雅黑"/>
                <w:i w:val="0"/>
                <w:iCs w:val="0"/>
                <w:caps w:val="0"/>
                <w:color w:val="404040"/>
                <w:spacing w:val="0"/>
                <w:sz w:val="24"/>
                <w:szCs w:val="24"/>
              </w:rPr>
            </w:pPr>
          </w:p>
        </w:tc>
        <w:tc>
          <w:tcPr>
            <w:tcW w:w="688" w:type="dxa"/>
            <w:vMerge w:val="restart"/>
            <w:tcBorders>
              <w:top w:val="nil"/>
              <w:left w:val="nil"/>
              <w:bottom w:val="single" w:color="auto" w:sz="8" w:space="0"/>
              <w:right w:val="single" w:color="auto" w:sz="8" w:space="0"/>
            </w:tcBorders>
            <w:shd w:val="clear" w:color="auto" w:fill="9BC2E6"/>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404040"/>
                <w:spacing w:val="0"/>
                <w:sz w:val="19"/>
                <w:szCs w:val="19"/>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404040"/>
                <w:spacing w:val="0"/>
                <w:sz w:val="19"/>
                <w:szCs w:val="19"/>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404040"/>
                <w:spacing w:val="0"/>
                <w:sz w:val="19"/>
                <w:szCs w:val="19"/>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top w:w="0" w:type="dxa"/>
              <w:left w:w="108" w:type="dxa"/>
              <w:bottom w:w="0" w:type="dxa"/>
              <w:right w:w="108" w:type="dxa"/>
            </w:tcMar>
            <w:vAlign w:val="center"/>
          </w:tcPr>
          <w:p>
            <w:pPr>
              <w:rPr>
                <w:rFonts w:hint="eastAsia" w:ascii="微软雅黑" w:hAnsi="微软雅黑" w:eastAsia="微软雅黑" w:cs="微软雅黑"/>
                <w:i w:val="0"/>
                <w:iCs w:val="0"/>
                <w:caps w:val="0"/>
                <w:color w:val="404040"/>
                <w:spacing w:val="0"/>
                <w:sz w:val="24"/>
                <w:szCs w:val="24"/>
              </w:rPr>
            </w:pPr>
          </w:p>
        </w:tc>
        <w:tc>
          <w:tcPr>
            <w:tcW w:w="688" w:type="dxa"/>
            <w:vMerge w:val="continue"/>
            <w:tcBorders>
              <w:top w:val="nil"/>
              <w:left w:val="nil"/>
              <w:bottom w:val="single" w:color="auto" w:sz="8" w:space="0"/>
              <w:right w:val="single" w:color="auto" w:sz="8" w:space="0"/>
            </w:tcBorders>
            <w:shd w:val="clear" w:color="auto" w:fill="9BC2E6"/>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688" w:type="dxa"/>
            <w:tcBorders>
              <w:top w:val="nil"/>
              <w:left w:val="nil"/>
              <w:bottom w:val="single" w:color="auto" w:sz="8" w:space="0"/>
              <w:right w:val="single" w:color="auto" w:sz="8" w:space="0"/>
            </w:tcBorders>
            <w:shd w:val="clear" w:color="auto" w:fill="9BC2E6"/>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404040"/>
                <w:spacing w:val="0"/>
                <w:sz w:val="19"/>
                <w:szCs w:val="19"/>
              </w:rPr>
              <w:t>商业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404040"/>
                <w:spacing w:val="0"/>
                <w:sz w:val="19"/>
                <w:szCs w:val="19"/>
              </w:rPr>
              <w:t>企业</w:t>
            </w:r>
          </w:p>
        </w:tc>
        <w:tc>
          <w:tcPr>
            <w:tcW w:w="688" w:type="dxa"/>
            <w:tcBorders>
              <w:top w:val="nil"/>
              <w:left w:val="nil"/>
              <w:bottom w:val="single" w:color="auto" w:sz="8" w:space="0"/>
              <w:right w:val="single" w:color="auto" w:sz="8" w:space="0"/>
            </w:tcBorders>
            <w:shd w:val="clear" w:color="auto" w:fill="9BC2E6"/>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404040"/>
                <w:spacing w:val="0"/>
                <w:sz w:val="19"/>
                <w:szCs w:val="19"/>
              </w:rPr>
              <w:t>科研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404040"/>
                <w:spacing w:val="0"/>
                <w:sz w:val="19"/>
                <w:szCs w:val="19"/>
              </w:rPr>
              <w:t>机构</w:t>
            </w:r>
          </w:p>
        </w:tc>
        <w:tc>
          <w:tcPr>
            <w:tcW w:w="688" w:type="dxa"/>
            <w:tcBorders>
              <w:top w:val="single" w:color="auto" w:sz="8" w:space="0"/>
              <w:left w:val="nil"/>
              <w:bottom w:val="single" w:color="auto" w:sz="8" w:space="0"/>
              <w:right w:val="single" w:color="auto" w:sz="8" w:space="0"/>
            </w:tcBorders>
            <w:shd w:val="clear" w:color="auto" w:fill="9BC2E6"/>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404040"/>
                <w:spacing w:val="0"/>
                <w:sz w:val="19"/>
                <w:szCs w:val="19"/>
              </w:rPr>
              <w:t>社会公益组织</w:t>
            </w:r>
          </w:p>
        </w:tc>
        <w:tc>
          <w:tcPr>
            <w:tcW w:w="688" w:type="dxa"/>
            <w:tcBorders>
              <w:top w:val="single" w:color="auto" w:sz="8" w:space="0"/>
              <w:left w:val="nil"/>
              <w:bottom w:val="single" w:color="auto" w:sz="8" w:space="0"/>
              <w:right w:val="single" w:color="auto" w:sz="8" w:space="0"/>
            </w:tcBorders>
            <w:shd w:val="clear" w:color="auto" w:fill="9BC2E6"/>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404040"/>
                <w:spacing w:val="0"/>
                <w:sz w:val="19"/>
                <w:szCs w:val="19"/>
              </w:rPr>
              <w:t>法律服务机构</w:t>
            </w:r>
          </w:p>
        </w:tc>
        <w:tc>
          <w:tcPr>
            <w:tcW w:w="688" w:type="dxa"/>
            <w:tcBorders>
              <w:top w:val="single" w:color="auto" w:sz="8" w:space="0"/>
              <w:left w:val="nil"/>
              <w:bottom w:val="single" w:color="auto" w:sz="8" w:space="0"/>
              <w:right w:val="single" w:color="auto" w:sz="8" w:space="0"/>
            </w:tcBorders>
            <w:shd w:val="clear" w:color="auto" w:fill="9BC2E6"/>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404040"/>
                <w:spacing w:val="0"/>
                <w:sz w:val="19"/>
                <w:szCs w:val="19"/>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4931" w:type="dxa"/>
            <w:gridSpan w:val="3"/>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404040"/>
                <w:spacing w:val="0"/>
                <w:sz w:val="19"/>
                <w:szCs w:val="19"/>
              </w:rPr>
              <w:t>一、本年新收政府信息公开申请数量</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4931" w:type="dxa"/>
            <w:gridSpan w:val="3"/>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404040"/>
                <w:spacing w:val="0"/>
                <w:sz w:val="19"/>
                <w:szCs w:val="19"/>
              </w:rPr>
              <w:t>二、上年结转政府信息公开申请数量</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768" w:type="dxa"/>
            <w:vMerge w:val="restart"/>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404040"/>
                <w:spacing w:val="0"/>
                <w:sz w:val="19"/>
                <w:szCs w:val="19"/>
              </w:rPr>
              <w:t>三、本年度办理结果</w:t>
            </w:r>
          </w:p>
        </w:tc>
        <w:tc>
          <w:tcPr>
            <w:tcW w:w="4163" w:type="dxa"/>
            <w:gridSpan w:val="2"/>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404040"/>
                <w:spacing w:val="0"/>
                <w:sz w:val="19"/>
                <w:szCs w:val="19"/>
              </w:rPr>
              <w:t>（一）予以公开</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9" w:type="dxa"/>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4163" w:type="dxa"/>
            <w:gridSpan w:val="2"/>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404040"/>
                <w:spacing w:val="0"/>
                <w:sz w:val="19"/>
                <w:szCs w:val="19"/>
              </w:rPr>
              <w:t>（二）部分公开</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943" w:type="dxa"/>
            <w:vMerge w:val="restart"/>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404040"/>
                <w:spacing w:val="0"/>
                <w:sz w:val="19"/>
                <w:szCs w:val="19"/>
              </w:rPr>
              <w:t>（三）不予公开</w:t>
            </w: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404040"/>
                <w:spacing w:val="0"/>
                <w:sz w:val="19"/>
                <w:szCs w:val="19"/>
              </w:rPr>
              <w:t>1.属于国家秘密</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9" w:type="dxa"/>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404040"/>
                <w:spacing w:val="0"/>
                <w:sz w:val="19"/>
                <w:szCs w:val="19"/>
              </w:rPr>
              <w:t>2.其他法律行政法规禁止公开</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404040"/>
                <w:spacing w:val="0"/>
                <w:sz w:val="19"/>
                <w:szCs w:val="19"/>
              </w:rPr>
              <w:t>3.危及“三安全一稳定”</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404040"/>
                <w:spacing w:val="0"/>
                <w:sz w:val="19"/>
                <w:szCs w:val="19"/>
              </w:rPr>
              <w:t>4.保护第三方合法权益</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404040"/>
                <w:spacing w:val="0"/>
                <w:sz w:val="19"/>
                <w:szCs w:val="19"/>
              </w:rPr>
              <w:t>5.属于三类内部事务信息</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404040"/>
                <w:spacing w:val="0"/>
                <w:sz w:val="19"/>
                <w:szCs w:val="19"/>
              </w:rPr>
              <w:t>6.属于四类过程性信息</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404040"/>
                <w:spacing w:val="0"/>
                <w:sz w:val="19"/>
                <w:szCs w:val="19"/>
              </w:rPr>
              <w:t>7.属于行政执法案卷</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404040"/>
                <w:spacing w:val="0"/>
                <w:sz w:val="19"/>
                <w:szCs w:val="19"/>
              </w:rPr>
              <w:t>8.属于行政查询事项</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943" w:type="dxa"/>
            <w:vMerge w:val="restart"/>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404040"/>
                <w:spacing w:val="0"/>
                <w:sz w:val="19"/>
                <w:szCs w:val="19"/>
              </w:rPr>
              <w:t>（四）无法提供</w:t>
            </w: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404040"/>
                <w:spacing w:val="0"/>
                <w:sz w:val="19"/>
                <w:szCs w:val="19"/>
              </w:rPr>
              <w:t>1.本机关不掌握相关政府信息</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404040"/>
                <w:spacing w:val="0"/>
                <w:sz w:val="19"/>
                <w:szCs w:val="19"/>
              </w:rPr>
              <w:t>2.没有现成信息需要另行制作</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404040"/>
                <w:spacing w:val="0"/>
                <w:sz w:val="19"/>
                <w:szCs w:val="19"/>
              </w:rPr>
              <w:t>3.补正后申请内容仍不明确</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943" w:type="dxa"/>
            <w:vMerge w:val="restart"/>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404040"/>
                <w:spacing w:val="0"/>
                <w:sz w:val="19"/>
                <w:szCs w:val="19"/>
              </w:rPr>
              <w:t>（五）不予处理</w:t>
            </w: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404040"/>
                <w:spacing w:val="0"/>
                <w:sz w:val="19"/>
                <w:szCs w:val="19"/>
              </w:rPr>
              <w:t>1.信访举报投诉类申请</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404040"/>
                <w:spacing w:val="0"/>
                <w:sz w:val="19"/>
                <w:szCs w:val="19"/>
              </w:rPr>
              <w:t>2.重复申请</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404040"/>
                <w:spacing w:val="0"/>
                <w:sz w:val="19"/>
                <w:szCs w:val="19"/>
              </w:rPr>
              <w:t>3.要求提供公开出版物</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404040"/>
                <w:spacing w:val="0"/>
                <w:sz w:val="19"/>
                <w:szCs w:val="19"/>
              </w:rPr>
              <w:t>4.无正当理由大量反复申请</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79" w:hRule="atLeast"/>
        </w:trPr>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3220" w:type="dxa"/>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404040"/>
                <w:spacing w:val="0"/>
                <w:sz w:val="19"/>
                <w:szCs w:val="19"/>
              </w:rPr>
              <w:t>5.要求行政机关确认或重新出具已获取信息</w:t>
            </w:r>
          </w:p>
        </w:tc>
        <w:tc>
          <w:tcPr>
            <w:tcW w:w="688" w:type="dxa"/>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9" w:type="dxa"/>
            <w:tcBorders>
              <w:top w:val="nil"/>
              <w:left w:val="nil"/>
              <w:bottom w:val="outset"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943" w:type="dxa"/>
            <w:vMerge w:val="restart"/>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404040"/>
                <w:spacing w:val="0"/>
                <w:sz w:val="19"/>
                <w:szCs w:val="19"/>
              </w:rPr>
              <w:t>（六）其他处理</w:t>
            </w: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404040"/>
                <w:spacing w:val="0"/>
                <w:sz w:val="19"/>
                <w:szCs w:val="19"/>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404040"/>
                <w:spacing w:val="0"/>
                <w:sz w:val="19"/>
                <w:szCs w:val="19"/>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404040"/>
                <w:spacing w:val="0"/>
                <w:sz w:val="19"/>
                <w:szCs w:val="19"/>
              </w:rPr>
              <w:t>3.其他</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rPr>
                <w:rFonts w:hint="eastAsia" w:ascii="微软雅黑" w:hAnsi="微软雅黑" w:eastAsia="微软雅黑" w:cs="微软雅黑"/>
                <w:i w:val="0"/>
                <w:iCs w:val="0"/>
                <w:caps w:val="0"/>
                <w:color w:val="404040"/>
                <w:spacing w:val="0"/>
                <w:sz w:val="24"/>
                <w:szCs w:val="24"/>
              </w:rPr>
            </w:pPr>
          </w:p>
        </w:tc>
        <w:tc>
          <w:tcPr>
            <w:tcW w:w="4163" w:type="dxa"/>
            <w:gridSpan w:val="2"/>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404040"/>
                <w:spacing w:val="0"/>
                <w:sz w:val="19"/>
                <w:szCs w:val="19"/>
              </w:rPr>
              <w:t>（七）总计</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8"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i w:val="0"/>
                <w:iCs w:val="0"/>
                <w:caps w:val="0"/>
                <w:color w:val="404040"/>
                <w:spacing w:val="0"/>
                <w:sz w:val="21"/>
                <w:szCs w:val="21"/>
              </w:rPr>
              <w:t>0</w:t>
            </w:r>
          </w:p>
        </w:tc>
        <w:tc>
          <w:tcPr>
            <w:tcW w:w="689"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4931" w:type="dxa"/>
            <w:gridSpan w:val="3"/>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404040"/>
                <w:spacing w:val="0"/>
                <w:sz w:val="19"/>
                <w:szCs w:val="19"/>
              </w:rPr>
              <w:t>四、结转下年度继续办理</w:t>
            </w:r>
          </w:p>
        </w:tc>
        <w:tc>
          <w:tcPr>
            <w:tcW w:w="688" w:type="dxa"/>
            <w:tcBorders>
              <w:top w:val="outset" w:color="auto" w:sz="8" w:space="0"/>
              <w:left w:val="nil"/>
              <w:bottom w:val="outset" w:color="auto" w:sz="8" w:space="0"/>
              <w:right w:val="outset" w:color="auto" w:sz="8"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i w:val="0"/>
                <w:iCs w:val="0"/>
                <w:caps w:val="0"/>
                <w:color w:val="404040"/>
                <w:spacing w:val="0"/>
                <w:sz w:val="21"/>
                <w:szCs w:val="21"/>
              </w:rPr>
              <w:t>0</w:t>
            </w:r>
          </w:p>
        </w:tc>
        <w:tc>
          <w:tcPr>
            <w:tcW w:w="688" w:type="dxa"/>
            <w:tcBorders>
              <w:top w:val="outset" w:color="auto" w:sz="8" w:space="0"/>
              <w:left w:val="nil"/>
              <w:bottom w:val="outset" w:color="auto" w:sz="8" w:space="0"/>
              <w:right w:val="outset" w:color="auto" w:sz="8"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i w:val="0"/>
                <w:iCs w:val="0"/>
                <w:caps w:val="0"/>
                <w:color w:val="404040"/>
                <w:spacing w:val="0"/>
                <w:sz w:val="21"/>
                <w:szCs w:val="21"/>
              </w:rPr>
              <w:t>0</w:t>
            </w:r>
          </w:p>
        </w:tc>
        <w:tc>
          <w:tcPr>
            <w:tcW w:w="688" w:type="dxa"/>
            <w:tcBorders>
              <w:top w:val="outset" w:color="auto" w:sz="8" w:space="0"/>
              <w:left w:val="nil"/>
              <w:bottom w:val="outset" w:color="auto" w:sz="8" w:space="0"/>
              <w:right w:val="outset" w:color="auto" w:sz="8"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i w:val="0"/>
                <w:iCs w:val="0"/>
                <w:caps w:val="0"/>
                <w:color w:val="404040"/>
                <w:spacing w:val="0"/>
                <w:sz w:val="21"/>
                <w:szCs w:val="21"/>
              </w:rPr>
              <w:t>0</w:t>
            </w:r>
          </w:p>
        </w:tc>
        <w:tc>
          <w:tcPr>
            <w:tcW w:w="688" w:type="dxa"/>
            <w:tcBorders>
              <w:top w:val="outset" w:color="auto" w:sz="8" w:space="0"/>
              <w:left w:val="nil"/>
              <w:bottom w:val="outset" w:color="auto" w:sz="8" w:space="0"/>
              <w:right w:val="outset" w:color="auto" w:sz="8"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i w:val="0"/>
                <w:iCs w:val="0"/>
                <w:caps w:val="0"/>
                <w:color w:val="404040"/>
                <w:spacing w:val="0"/>
                <w:sz w:val="21"/>
                <w:szCs w:val="21"/>
              </w:rPr>
              <w:t>0</w:t>
            </w:r>
          </w:p>
        </w:tc>
        <w:tc>
          <w:tcPr>
            <w:tcW w:w="688" w:type="dxa"/>
            <w:tcBorders>
              <w:top w:val="outset" w:color="auto" w:sz="8" w:space="0"/>
              <w:left w:val="nil"/>
              <w:bottom w:val="outset" w:color="auto" w:sz="8" w:space="0"/>
              <w:right w:val="outset" w:color="auto" w:sz="8"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i w:val="0"/>
                <w:iCs w:val="0"/>
                <w:caps w:val="0"/>
                <w:color w:val="404040"/>
                <w:spacing w:val="0"/>
                <w:sz w:val="21"/>
                <w:szCs w:val="21"/>
              </w:rPr>
              <w:t>0</w:t>
            </w:r>
          </w:p>
        </w:tc>
        <w:tc>
          <w:tcPr>
            <w:tcW w:w="688" w:type="dxa"/>
            <w:tcBorders>
              <w:top w:val="outset" w:color="auto" w:sz="8" w:space="0"/>
              <w:left w:val="nil"/>
              <w:bottom w:val="outset" w:color="auto" w:sz="8" w:space="0"/>
              <w:right w:val="outset" w:color="auto" w:sz="8"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i w:val="0"/>
                <w:iCs w:val="0"/>
                <w:caps w:val="0"/>
                <w:color w:val="404040"/>
                <w:spacing w:val="0"/>
                <w:sz w:val="21"/>
                <w:szCs w:val="21"/>
              </w:rPr>
              <w:t>0</w:t>
            </w:r>
          </w:p>
        </w:tc>
        <w:tc>
          <w:tcPr>
            <w:tcW w:w="689" w:type="dxa"/>
            <w:tcBorders>
              <w:top w:val="outset" w:color="auto" w:sz="8" w:space="0"/>
              <w:left w:val="nil"/>
              <w:bottom w:val="outset" w:color="auto" w:sz="8" w:space="0"/>
              <w:right w:val="outset" w:color="auto" w:sz="8" w:space="0"/>
            </w:tcBorders>
            <w:shd w:val="clear" w:color="auto" w:fill="FFFFFF"/>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i w:val="0"/>
                <w:iCs w:val="0"/>
                <w:caps w:val="0"/>
                <w:color w:val="404040"/>
                <w:spacing w:val="0"/>
                <w:sz w:val="21"/>
                <w:szCs w:val="21"/>
              </w:rPr>
              <w:t>0</w:t>
            </w:r>
          </w:p>
        </w:tc>
      </w:tr>
    </w:tbl>
    <w:p>
      <w:pPr>
        <w:ind w:firstLine="620" w:firstLineChars="200"/>
        <w:rPr>
          <w:rFonts w:hint="eastAsia" w:ascii="黑体" w:hAnsi="宋体" w:eastAsia="黑体" w:cs="黑体"/>
          <w:i w:val="0"/>
          <w:iCs w:val="0"/>
          <w:caps w:val="0"/>
          <w:color w:val="404040"/>
          <w:spacing w:val="0"/>
          <w:sz w:val="31"/>
          <w:szCs w:val="31"/>
          <w:shd w:val="clear" w:fill="FFFFFF"/>
        </w:rPr>
      </w:pPr>
    </w:p>
    <w:p>
      <w:pPr>
        <w:ind w:firstLine="620" w:firstLineChars="200"/>
        <w:rPr>
          <w:rFonts w:hint="eastAsia" w:ascii="黑体" w:hAnsi="黑体" w:eastAsia="黑体" w:cs="黑体"/>
          <w:sz w:val="32"/>
          <w:szCs w:val="32"/>
        </w:rPr>
      </w:pPr>
      <w:r>
        <w:rPr>
          <w:rFonts w:hint="eastAsia" w:ascii="黑体" w:hAnsi="宋体" w:eastAsia="黑体" w:cs="黑体"/>
          <w:i w:val="0"/>
          <w:iCs w:val="0"/>
          <w:caps w:val="0"/>
          <w:color w:val="404040"/>
          <w:spacing w:val="0"/>
          <w:sz w:val="31"/>
          <w:szCs w:val="31"/>
          <w:shd w:val="clear" w:fill="FFFFFF"/>
        </w:rPr>
        <w:t>四、政府信息公开行政复议、行政诉讼情况</w:t>
      </w:r>
    </w:p>
    <w:tbl>
      <w:tblPr>
        <w:tblStyle w:val="6"/>
        <w:tblW w:w="9748"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47" w:hRule="atLeast"/>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iCs w:val="0"/>
                <w:caps w:val="0"/>
                <w:color w:val="404040"/>
                <w:spacing w:val="0"/>
                <w:sz w:val="19"/>
                <w:szCs w:val="19"/>
              </w:rPr>
              <w:t>行政复议</w:t>
            </w:r>
          </w:p>
        </w:tc>
        <w:tc>
          <w:tcPr>
            <w:tcW w:w="6503" w:type="dxa"/>
            <w:gridSpan w:val="10"/>
            <w:tcBorders>
              <w:top w:val="single" w:color="auto" w:sz="8" w:space="0"/>
              <w:left w:val="nil"/>
              <w:bottom w:val="single" w:color="auto" w:sz="8" w:space="0"/>
              <w:right w:val="single" w:color="auto" w:sz="8" w:space="0"/>
            </w:tcBorders>
            <w:shd w:val="clear" w:color="auto" w:fill="BDD7EE"/>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iCs w:val="0"/>
                <w:caps w:val="0"/>
                <w:color w:val="404040"/>
                <w:spacing w:val="0"/>
                <w:sz w:val="19"/>
                <w:szCs w:val="19"/>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82" w:hRule="atLeast"/>
        </w:trPr>
        <w:tc>
          <w:tcPr>
            <w:tcW w:w="649"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iCs w:val="0"/>
                <w:caps w:val="0"/>
                <w:color w:val="404040"/>
                <w:spacing w:val="0"/>
                <w:sz w:val="19"/>
                <w:szCs w:val="19"/>
              </w:rPr>
              <w:t>结果维持</w:t>
            </w:r>
          </w:p>
        </w:tc>
        <w:tc>
          <w:tcPr>
            <w:tcW w:w="649"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iCs w:val="0"/>
                <w:caps w:val="0"/>
                <w:color w:val="404040"/>
                <w:spacing w:val="0"/>
                <w:sz w:val="19"/>
                <w:szCs w:val="19"/>
              </w:rPr>
              <w:t>结果纠正</w:t>
            </w:r>
          </w:p>
        </w:tc>
        <w:tc>
          <w:tcPr>
            <w:tcW w:w="649"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iCs w:val="0"/>
                <w:caps w:val="0"/>
                <w:color w:val="404040"/>
                <w:spacing w:val="0"/>
                <w:sz w:val="19"/>
                <w:szCs w:val="19"/>
              </w:rPr>
              <w:t>其他结果</w:t>
            </w:r>
          </w:p>
        </w:tc>
        <w:tc>
          <w:tcPr>
            <w:tcW w:w="649"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iCs w:val="0"/>
                <w:caps w:val="0"/>
                <w:color w:val="404040"/>
                <w:spacing w:val="0"/>
                <w:sz w:val="19"/>
                <w:szCs w:val="19"/>
              </w:rPr>
              <w:t>尚未审结</w:t>
            </w:r>
          </w:p>
        </w:tc>
        <w:tc>
          <w:tcPr>
            <w:tcW w:w="649"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iCs w:val="0"/>
                <w:caps w:val="0"/>
                <w:color w:val="404040"/>
                <w:spacing w:val="0"/>
                <w:sz w:val="19"/>
                <w:szCs w:val="19"/>
              </w:rPr>
              <w:t>总计</w:t>
            </w:r>
          </w:p>
        </w:tc>
        <w:tc>
          <w:tcPr>
            <w:tcW w:w="3248" w:type="dxa"/>
            <w:gridSpan w:val="5"/>
            <w:tcBorders>
              <w:top w:val="single" w:color="auto" w:sz="8" w:space="0"/>
              <w:left w:val="nil"/>
              <w:bottom w:val="single" w:color="auto" w:sz="8" w:space="0"/>
              <w:right w:val="single" w:color="auto" w:sz="8" w:space="0"/>
            </w:tcBorders>
            <w:shd w:val="clear" w:color="auto" w:fill="DDEBF7"/>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iCs w:val="0"/>
                <w:caps w:val="0"/>
                <w:color w:val="404040"/>
                <w:spacing w:val="0"/>
                <w:sz w:val="19"/>
                <w:szCs w:val="19"/>
              </w:rPr>
              <w:t>未经复议直接起诉</w:t>
            </w:r>
          </w:p>
        </w:tc>
        <w:tc>
          <w:tcPr>
            <w:tcW w:w="3255" w:type="dxa"/>
            <w:gridSpan w:val="5"/>
            <w:tcBorders>
              <w:top w:val="single" w:color="auto" w:sz="8" w:space="0"/>
              <w:left w:val="nil"/>
              <w:bottom w:val="single" w:color="auto" w:sz="8" w:space="0"/>
              <w:right w:val="single" w:color="auto" w:sz="8" w:space="0"/>
            </w:tcBorders>
            <w:shd w:val="clear" w:color="auto" w:fill="DDEBF7"/>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iCs w:val="0"/>
                <w:caps w:val="0"/>
                <w:color w:val="404040"/>
                <w:spacing w:val="0"/>
                <w:sz w:val="19"/>
                <w:szCs w:val="19"/>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14" w:hRule="atLeast"/>
        </w:trPr>
        <w:tc>
          <w:tcPr>
            <w:tcW w:w="649"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04040"/>
                <w:spacing w:val="0"/>
                <w:sz w:val="24"/>
                <w:szCs w:val="24"/>
              </w:rPr>
            </w:pPr>
          </w:p>
        </w:tc>
        <w:tc>
          <w:tcPr>
            <w:tcW w:w="64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04040"/>
                <w:spacing w:val="0"/>
                <w:sz w:val="24"/>
                <w:szCs w:val="24"/>
              </w:rPr>
            </w:pPr>
          </w:p>
        </w:tc>
        <w:tc>
          <w:tcPr>
            <w:tcW w:w="649"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04040"/>
                <w:spacing w:val="0"/>
                <w:sz w:val="24"/>
                <w:szCs w:val="24"/>
              </w:rPr>
            </w:pPr>
          </w:p>
        </w:tc>
        <w:tc>
          <w:tcPr>
            <w:tcW w:w="649"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04040"/>
                <w:spacing w:val="0"/>
                <w:sz w:val="24"/>
                <w:szCs w:val="24"/>
              </w:rPr>
            </w:pPr>
          </w:p>
        </w:tc>
        <w:tc>
          <w:tcPr>
            <w:tcW w:w="649"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404040"/>
                <w:spacing w:val="0"/>
                <w:sz w:val="24"/>
                <w:szCs w:val="24"/>
              </w:rPr>
            </w:pPr>
          </w:p>
        </w:tc>
        <w:tc>
          <w:tcPr>
            <w:tcW w:w="64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iCs w:val="0"/>
                <w:caps w:val="0"/>
                <w:color w:val="404040"/>
                <w:spacing w:val="0"/>
                <w:sz w:val="19"/>
                <w:szCs w:val="19"/>
              </w:rPr>
              <w:t>结果维持</w:t>
            </w:r>
          </w:p>
        </w:tc>
        <w:tc>
          <w:tcPr>
            <w:tcW w:w="64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iCs w:val="0"/>
                <w:caps w:val="0"/>
                <w:color w:val="404040"/>
                <w:spacing w:val="0"/>
                <w:sz w:val="19"/>
                <w:szCs w:val="19"/>
              </w:rPr>
              <w:t>结果纠正</w:t>
            </w:r>
          </w:p>
        </w:tc>
        <w:tc>
          <w:tcPr>
            <w:tcW w:w="6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iCs w:val="0"/>
                <w:caps w:val="0"/>
                <w:color w:val="404040"/>
                <w:spacing w:val="0"/>
                <w:sz w:val="19"/>
                <w:szCs w:val="19"/>
              </w:rPr>
              <w:t>其他结果</w:t>
            </w:r>
          </w:p>
        </w:tc>
        <w:tc>
          <w:tcPr>
            <w:tcW w:w="6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iCs w:val="0"/>
                <w:caps w:val="0"/>
                <w:color w:val="404040"/>
                <w:spacing w:val="0"/>
                <w:sz w:val="19"/>
                <w:szCs w:val="19"/>
              </w:rPr>
              <w:t>尚未审结</w:t>
            </w:r>
          </w:p>
        </w:tc>
        <w:tc>
          <w:tcPr>
            <w:tcW w:w="6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iCs w:val="0"/>
                <w:caps w:val="0"/>
                <w:color w:val="000000"/>
                <w:spacing w:val="0"/>
                <w:sz w:val="19"/>
                <w:szCs w:val="19"/>
              </w:rPr>
              <w:t>总计</w:t>
            </w:r>
          </w:p>
        </w:tc>
        <w:tc>
          <w:tcPr>
            <w:tcW w:w="6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iCs w:val="0"/>
                <w:caps w:val="0"/>
                <w:color w:val="404040"/>
                <w:spacing w:val="0"/>
                <w:sz w:val="19"/>
                <w:szCs w:val="19"/>
              </w:rPr>
              <w:t>结果维持</w:t>
            </w:r>
          </w:p>
        </w:tc>
        <w:tc>
          <w:tcPr>
            <w:tcW w:w="6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iCs w:val="0"/>
                <w:caps w:val="0"/>
                <w:color w:val="404040"/>
                <w:spacing w:val="0"/>
                <w:sz w:val="19"/>
                <w:szCs w:val="19"/>
              </w:rPr>
              <w:t>结果纠正</w:t>
            </w:r>
          </w:p>
        </w:tc>
        <w:tc>
          <w:tcPr>
            <w:tcW w:w="6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iCs w:val="0"/>
                <w:caps w:val="0"/>
                <w:color w:val="000000"/>
                <w:spacing w:val="0"/>
                <w:sz w:val="19"/>
                <w:szCs w:val="19"/>
              </w:rPr>
              <w:t>其他结果</w:t>
            </w:r>
          </w:p>
        </w:tc>
        <w:tc>
          <w:tcPr>
            <w:tcW w:w="6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iCs w:val="0"/>
                <w:caps w:val="0"/>
                <w:color w:val="404040"/>
                <w:spacing w:val="0"/>
                <w:sz w:val="19"/>
                <w:szCs w:val="19"/>
              </w:rPr>
              <w:t>尚未审结</w:t>
            </w:r>
          </w:p>
        </w:tc>
        <w:tc>
          <w:tcPr>
            <w:tcW w:w="6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iCs w:val="0"/>
                <w:caps w:val="0"/>
                <w:color w:val="000000"/>
                <w:spacing w:val="0"/>
                <w:sz w:val="19"/>
                <w:szCs w:val="19"/>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72" w:hRule="atLeast"/>
        </w:trPr>
        <w:tc>
          <w:tcPr>
            <w:tcW w:w="64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404040"/>
                <w:spacing w:val="0"/>
                <w:sz w:val="19"/>
                <w:szCs w:val="19"/>
              </w:rPr>
              <w:t>0</w:t>
            </w:r>
          </w:p>
        </w:tc>
        <w:tc>
          <w:tcPr>
            <w:tcW w:w="64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404040"/>
                <w:spacing w:val="0"/>
                <w:sz w:val="19"/>
                <w:szCs w:val="19"/>
              </w:rPr>
              <w:t>0</w:t>
            </w:r>
          </w:p>
        </w:tc>
        <w:tc>
          <w:tcPr>
            <w:tcW w:w="64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404040"/>
                <w:spacing w:val="0"/>
                <w:sz w:val="19"/>
                <w:szCs w:val="19"/>
              </w:rPr>
              <w:t>0</w:t>
            </w:r>
          </w:p>
        </w:tc>
        <w:tc>
          <w:tcPr>
            <w:tcW w:w="64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404040"/>
                <w:spacing w:val="0"/>
                <w:sz w:val="19"/>
                <w:szCs w:val="19"/>
              </w:rPr>
              <w:t>0</w:t>
            </w:r>
          </w:p>
        </w:tc>
        <w:tc>
          <w:tcPr>
            <w:tcW w:w="64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404040"/>
                <w:spacing w:val="0"/>
                <w:sz w:val="19"/>
                <w:szCs w:val="19"/>
              </w:rPr>
              <w:t>0</w:t>
            </w:r>
          </w:p>
        </w:tc>
        <w:tc>
          <w:tcPr>
            <w:tcW w:w="64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404040"/>
                <w:spacing w:val="0"/>
                <w:sz w:val="19"/>
                <w:szCs w:val="19"/>
              </w:rPr>
              <w:t>0</w:t>
            </w:r>
          </w:p>
        </w:tc>
        <w:tc>
          <w:tcPr>
            <w:tcW w:w="64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404040"/>
                <w:spacing w:val="0"/>
                <w:sz w:val="19"/>
                <w:szCs w:val="19"/>
              </w:rPr>
              <w:t>0</w:t>
            </w:r>
          </w:p>
        </w:tc>
        <w:tc>
          <w:tcPr>
            <w:tcW w:w="6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404040"/>
                <w:spacing w:val="0"/>
                <w:sz w:val="19"/>
                <w:szCs w:val="19"/>
              </w:rPr>
              <w:t>0</w:t>
            </w:r>
          </w:p>
        </w:tc>
        <w:tc>
          <w:tcPr>
            <w:tcW w:w="6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404040"/>
                <w:spacing w:val="0"/>
                <w:sz w:val="19"/>
                <w:szCs w:val="19"/>
              </w:rPr>
              <w:t>0</w:t>
            </w:r>
          </w:p>
        </w:tc>
        <w:tc>
          <w:tcPr>
            <w:tcW w:w="6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404040"/>
                <w:spacing w:val="0"/>
                <w:sz w:val="19"/>
                <w:szCs w:val="19"/>
              </w:rPr>
              <w:t>0</w:t>
            </w:r>
          </w:p>
        </w:tc>
        <w:tc>
          <w:tcPr>
            <w:tcW w:w="6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404040"/>
                <w:spacing w:val="0"/>
                <w:sz w:val="19"/>
                <w:szCs w:val="19"/>
              </w:rPr>
              <w:t>0</w:t>
            </w:r>
          </w:p>
        </w:tc>
        <w:tc>
          <w:tcPr>
            <w:tcW w:w="6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404040"/>
                <w:spacing w:val="0"/>
                <w:sz w:val="19"/>
                <w:szCs w:val="19"/>
              </w:rPr>
              <w:t>0</w:t>
            </w:r>
          </w:p>
        </w:tc>
        <w:tc>
          <w:tcPr>
            <w:tcW w:w="6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404040"/>
                <w:spacing w:val="0"/>
                <w:sz w:val="19"/>
                <w:szCs w:val="19"/>
              </w:rPr>
              <w:t>0</w:t>
            </w:r>
          </w:p>
        </w:tc>
        <w:tc>
          <w:tcPr>
            <w:tcW w:w="6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i w:val="0"/>
                <w:iCs w:val="0"/>
                <w:caps w:val="0"/>
                <w:color w:val="404040"/>
                <w:spacing w:val="0"/>
                <w:sz w:val="19"/>
                <w:szCs w:val="19"/>
              </w:rPr>
              <w:t>0</w:t>
            </w:r>
          </w:p>
        </w:tc>
        <w:tc>
          <w:tcPr>
            <w:tcW w:w="6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80" w:firstLineChars="200"/>
            </w:pPr>
            <w:r>
              <w:rPr>
                <w:rFonts w:hint="eastAsia" w:ascii="宋体" w:hAnsi="宋体" w:eastAsia="宋体" w:cs="宋体"/>
                <w:i w:val="0"/>
                <w:iCs w:val="0"/>
                <w:caps w:val="0"/>
                <w:color w:val="404040"/>
                <w:spacing w:val="0"/>
                <w:sz w:val="24"/>
                <w:szCs w:val="24"/>
                <w:lang w:val="en-US" w:eastAsia="zh-CN"/>
              </w:rPr>
              <w:t xml:space="preserve"> </w:t>
            </w:r>
            <w:r>
              <w:rPr>
                <w:rFonts w:hint="eastAsia" w:ascii="黑体" w:hAnsi="宋体" w:eastAsia="黑体" w:cs="黑体"/>
                <w:i w:val="0"/>
                <w:iCs w:val="0"/>
                <w:caps w:val="0"/>
                <w:color w:val="404040"/>
                <w:spacing w:val="0"/>
                <w:sz w:val="19"/>
                <w:szCs w:val="19"/>
              </w:rPr>
              <w:t>0</w:t>
            </w:r>
          </w:p>
        </w:tc>
      </w:tr>
    </w:tbl>
    <w:p>
      <w:pPr>
        <w:ind w:firstLine="640" w:firstLineChars="200"/>
        <w:rPr>
          <w:rFonts w:hint="eastAsia" w:ascii="仿宋" w:hAnsi="仿宋" w:eastAsia="仿宋" w:cs="仿宋"/>
          <w:sz w:val="32"/>
          <w:szCs w:val="32"/>
        </w:rPr>
      </w:pPr>
      <w:r>
        <w:rPr>
          <w:rFonts w:hint="eastAsia" w:ascii="黑体" w:hAnsi="黑体" w:eastAsia="黑体" w:cs="黑体"/>
          <w:sz w:val="32"/>
          <w:szCs w:val="32"/>
        </w:rPr>
        <w:t>五、存在的主要问题及改进情况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一是工作配合不够顺畅。</w:t>
      </w:r>
      <w:r>
        <w:rPr>
          <w:rFonts w:hint="eastAsia" w:ascii="仿宋" w:hAnsi="仿宋" w:eastAsia="仿宋" w:cs="仿宋"/>
          <w:sz w:val="32"/>
          <w:szCs w:val="32"/>
          <w:lang w:val="en-US" w:eastAsia="zh-CN"/>
        </w:rPr>
        <w:t>2022年此项工作由办公室移交法制科，</w:t>
      </w:r>
      <w:r>
        <w:rPr>
          <w:rFonts w:hint="eastAsia" w:ascii="仿宋" w:hAnsi="仿宋" w:eastAsia="仿宋" w:cs="仿宋"/>
          <w:sz w:val="32"/>
          <w:szCs w:val="32"/>
        </w:rPr>
        <w:t>由于负责政府信息公开工作的人员有所调整，致使信息公开工作的持续性受到影响。</w:t>
      </w:r>
      <w:r>
        <w:rPr>
          <w:rFonts w:hint="default" w:ascii="仿宋_GB2312" w:hAnsi="微软雅黑" w:eastAsia="仿宋_GB2312" w:cs="仿宋_GB2312"/>
          <w:i w:val="0"/>
          <w:iCs w:val="0"/>
          <w:caps w:val="0"/>
          <w:color w:val="404040"/>
          <w:spacing w:val="0"/>
          <w:sz w:val="31"/>
          <w:szCs w:val="31"/>
          <w:shd w:val="clear" w:fill="FFFFFF"/>
        </w:rPr>
        <w:t>两科室人员在处理政务公开工作中存在部分工作</w:t>
      </w:r>
      <w:r>
        <w:rPr>
          <w:rFonts w:hint="eastAsia" w:ascii="仿宋_GB2312" w:hAnsi="微软雅黑" w:eastAsia="仿宋_GB2312" w:cs="仿宋_GB2312"/>
          <w:i w:val="0"/>
          <w:iCs w:val="0"/>
          <w:caps w:val="0"/>
          <w:color w:val="404040"/>
          <w:spacing w:val="0"/>
          <w:sz w:val="31"/>
          <w:szCs w:val="31"/>
          <w:shd w:val="clear" w:fill="FFFFFF"/>
          <w:lang w:eastAsia="zh-CN"/>
        </w:rPr>
        <w:t>交接</w:t>
      </w:r>
      <w:r>
        <w:rPr>
          <w:rFonts w:hint="default" w:ascii="仿宋_GB2312" w:hAnsi="微软雅黑" w:eastAsia="仿宋_GB2312" w:cs="仿宋_GB2312"/>
          <w:i w:val="0"/>
          <w:iCs w:val="0"/>
          <w:caps w:val="0"/>
          <w:color w:val="404040"/>
          <w:spacing w:val="0"/>
          <w:sz w:val="31"/>
          <w:szCs w:val="31"/>
          <w:shd w:val="clear" w:fill="FFFFFF"/>
        </w:rPr>
        <w:t>不清、沟通衔接不畅等问题。</w:t>
      </w:r>
      <w:r>
        <w:rPr>
          <w:rFonts w:hint="eastAsia" w:ascii="仿宋_GB2312" w:hAnsi="微软雅黑" w:eastAsia="仿宋_GB2312" w:cs="仿宋_GB2312"/>
          <w:i w:val="0"/>
          <w:iCs w:val="0"/>
          <w:caps w:val="0"/>
          <w:color w:val="404040"/>
          <w:spacing w:val="0"/>
          <w:sz w:val="31"/>
          <w:szCs w:val="31"/>
          <w:shd w:val="clear" w:fill="FFFFFF"/>
          <w:lang w:eastAsia="zh-CN"/>
        </w:rPr>
        <w:t>改进措施：</w:t>
      </w:r>
      <w:r>
        <w:rPr>
          <w:rFonts w:hint="default" w:ascii="仿宋_GB2312" w:hAnsi="微软雅黑" w:eastAsia="仿宋_GB2312" w:cs="仿宋_GB2312"/>
          <w:i w:val="0"/>
          <w:iCs w:val="0"/>
          <w:caps w:val="0"/>
          <w:color w:val="404040"/>
          <w:spacing w:val="0"/>
          <w:sz w:val="31"/>
          <w:szCs w:val="31"/>
          <w:shd w:val="clear" w:fill="FFFFFF"/>
        </w:rPr>
        <w:t>提高思想认识，加强</w:t>
      </w:r>
      <w:r>
        <w:rPr>
          <w:rFonts w:hint="eastAsia" w:ascii="仿宋_GB2312" w:hAnsi="微软雅黑" w:eastAsia="仿宋_GB2312" w:cs="仿宋_GB2312"/>
          <w:i w:val="0"/>
          <w:iCs w:val="0"/>
          <w:caps w:val="0"/>
          <w:color w:val="404040"/>
          <w:spacing w:val="0"/>
          <w:sz w:val="31"/>
          <w:szCs w:val="31"/>
          <w:shd w:val="clear" w:fill="FFFFFF"/>
          <w:lang w:eastAsia="zh-CN"/>
        </w:rPr>
        <w:t>理清工作思路</w:t>
      </w:r>
      <w:r>
        <w:rPr>
          <w:rFonts w:hint="default" w:ascii="仿宋_GB2312" w:hAnsi="微软雅黑" w:eastAsia="仿宋_GB2312" w:cs="仿宋_GB2312"/>
          <w:i w:val="0"/>
          <w:iCs w:val="0"/>
          <w:caps w:val="0"/>
          <w:color w:val="404040"/>
          <w:spacing w:val="0"/>
          <w:sz w:val="31"/>
          <w:szCs w:val="31"/>
          <w:shd w:val="clear" w:fill="FFFFFF"/>
        </w:rPr>
        <w:t>，提升工作水平，紧紧围绕中心工作,做到政务公开工作无死角。</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二是</w:t>
      </w:r>
      <w:r>
        <w:rPr>
          <w:rFonts w:hint="eastAsia" w:ascii="仿宋" w:hAnsi="仿宋" w:eastAsia="仿宋" w:cs="仿宋"/>
          <w:sz w:val="32"/>
          <w:szCs w:val="32"/>
        </w:rPr>
        <w:t>公开工作规范性有待进一步加强</w:t>
      </w:r>
      <w:r>
        <w:rPr>
          <w:rFonts w:hint="eastAsia" w:ascii="仿宋" w:hAnsi="仿宋" w:eastAsia="仿宋" w:cs="仿宋"/>
          <w:sz w:val="32"/>
          <w:szCs w:val="32"/>
          <w:lang w:eastAsia="zh-CN"/>
        </w:rPr>
        <w:t>。</w:t>
      </w:r>
      <w:r>
        <w:rPr>
          <w:rFonts w:hint="eastAsia" w:ascii="仿宋" w:hAnsi="仿宋" w:eastAsia="仿宋" w:cs="仿宋"/>
          <w:sz w:val="32"/>
          <w:szCs w:val="32"/>
        </w:rPr>
        <w:t>中心将结合工作职能，继续加大信息公开力度，不断提升信息公开的质量和水平。</w:t>
      </w:r>
      <w:r>
        <w:rPr>
          <w:rFonts w:hint="eastAsia" w:ascii="仿宋" w:hAnsi="仿宋" w:eastAsia="仿宋" w:cs="仿宋"/>
          <w:sz w:val="32"/>
          <w:szCs w:val="32"/>
          <w:lang w:eastAsia="zh-CN"/>
        </w:rPr>
        <w:t>改进措施：</w:t>
      </w:r>
      <w:r>
        <w:rPr>
          <w:rFonts w:hint="eastAsia" w:ascii="仿宋" w:hAnsi="仿宋" w:eastAsia="仿宋" w:cs="仿宋"/>
          <w:sz w:val="32"/>
          <w:szCs w:val="32"/>
        </w:rPr>
        <w:t>大力开展政府信息公开工作知识的学习和培训，增强信息公开工作人员法律和责任意识，进一步提高业务能力和工作水平。</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三是</w:t>
      </w:r>
      <w:r>
        <w:rPr>
          <w:rFonts w:hint="eastAsia" w:ascii="仿宋" w:hAnsi="仿宋" w:eastAsia="仿宋" w:cs="仿宋"/>
          <w:sz w:val="32"/>
          <w:szCs w:val="32"/>
        </w:rPr>
        <w:t>部分栏目建设仍不够完善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改进措施：</w:t>
      </w:r>
      <w:r>
        <w:rPr>
          <w:rFonts w:hint="eastAsia" w:ascii="仿宋" w:hAnsi="仿宋" w:eastAsia="仿宋" w:cs="仿宋"/>
          <w:sz w:val="32"/>
          <w:szCs w:val="32"/>
        </w:rPr>
        <w:t>不断完善栏目设置，积极公开社会关注度高、公众利益密切相关的信息，丰富和深化信息公开的内容。</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六、其他需要报告的事项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本单位依据《政府信息公开信息处理费管理办法》收取信息处理费，发出收费通知的件数和总金额以及实际收取的总金额均为0。</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本报告中所列数据的统计期限自202</w:t>
      </w:r>
      <w:r>
        <w:rPr>
          <w:rFonts w:hint="eastAsia" w:ascii="仿宋" w:hAnsi="仿宋" w:eastAsia="仿宋" w:cs="仿宋"/>
          <w:sz w:val="32"/>
          <w:szCs w:val="32"/>
          <w:lang w:val="en-US" w:eastAsia="zh-CN"/>
        </w:rPr>
        <w:t>2</w:t>
      </w:r>
      <w:r>
        <w:rPr>
          <w:rFonts w:hint="eastAsia" w:ascii="仿宋" w:hAnsi="仿宋" w:eastAsia="仿宋" w:cs="仿宋"/>
          <w:sz w:val="32"/>
          <w:szCs w:val="32"/>
        </w:rPr>
        <w:t>年1月1日起，至202</w:t>
      </w:r>
      <w:r>
        <w:rPr>
          <w:rFonts w:hint="eastAsia" w:ascii="仿宋" w:hAnsi="仿宋" w:eastAsia="仿宋" w:cs="仿宋"/>
          <w:sz w:val="32"/>
          <w:szCs w:val="32"/>
          <w:lang w:val="en-US" w:eastAsia="zh-CN"/>
        </w:rPr>
        <w:t>2</w:t>
      </w:r>
      <w:r>
        <w:rPr>
          <w:rFonts w:hint="eastAsia" w:ascii="仿宋" w:hAnsi="仿宋" w:eastAsia="仿宋" w:cs="仿宋"/>
          <w:sz w:val="32"/>
          <w:szCs w:val="32"/>
        </w:rPr>
        <w:t>年12月31日止。如需了解更多政府信息，请登录西城区人民政府网站查询，网址为http://www.bjxch.gov.cn/。</w:t>
      </w:r>
    </w:p>
    <w:p>
      <w:pPr>
        <w:rPr>
          <w:rFonts w:hint="eastAsia" w:ascii="仿宋" w:hAnsi="仿宋" w:eastAsia="仿宋" w:cs="仿宋"/>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3ZTZjMTRmZmU4M2Q2NmJkNzc2YzNkYWQxN2ZkM2QifQ=="/>
  </w:docVars>
  <w:rsids>
    <w:rsidRoot w:val="00000000"/>
    <w:rsid w:val="02600FAD"/>
    <w:rsid w:val="1E78532C"/>
    <w:rsid w:val="274D3637"/>
    <w:rsid w:val="2777500A"/>
    <w:rsid w:val="2B043221"/>
    <w:rsid w:val="2B964352"/>
    <w:rsid w:val="30D0498B"/>
    <w:rsid w:val="30E213C2"/>
    <w:rsid w:val="3B146D9F"/>
    <w:rsid w:val="42641D5E"/>
    <w:rsid w:val="4D545E4A"/>
    <w:rsid w:val="524755F5"/>
    <w:rsid w:val="547B41FB"/>
    <w:rsid w:val="5531145B"/>
    <w:rsid w:val="5B5B0807"/>
    <w:rsid w:val="5EA85B3B"/>
    <w:rsid w:val="658C782A"/>
    <w:rsid w:val="6EC47CA0"/>
    <w:rsid w:val="70717AE7"/>
    <w:rsid w:val="720E740F"/>
    <w:rsid w:val="7EB847CE"/>
    <w:rsid w:val="7FB90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0"/>
    <w:pPr>
      <w:spacing w:after="120" w:line="360" w:lineRule="auto"/>
      <w:ind w:left="420" w:leftChars="200" w:firstLine="420" w:firstLineChars="200"/>
    </w:pPr>
    <w:rPr>
      <w:rFonts w:ascii="Times New Roman" w:eastAsia="Times New Roman"/>
      <w:sz w:val="21"/>
      <w:szCs w:val="22"/>
    </w:rPr>
  </w:style>
  <w:style w:type="paragraph" w:styleId="3">
    <w:name w:val="Body Text Indent"/>
    <w:basedOn w:val="1"/>
    <w:next w:val="4"/>
    <w:qFormat/>
    <w:uiPriority w:val="99"/>
    <w:pPr>
      <w:ind w:firstLine="645"/>
    </w:pPr>
    <w:rPr>
      <w:rFonts w:ascii="楷体_GB2312" w:eastAsia="楷体_GB2312"/>
      <w:sz w:val="32"/>
    </w:rPr>
  </w:style>
  <w:style w:type="paragraph" w:styleId="4">
    <w:name w:val="envelope return"/>
    <w:basedOn w:val="1"/>
    <w:qFormat/>
    <w:uiPriority w:val="0"/>
    <w:pPr>
      <w:snapToGrid w:val="0"/>
    </w:pPr>
    <w:rPr>
      <w:rFonts w:ascii="Arial" w:hAnsi="Arial"/>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74</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2022-11-16T08:15:00Z</dcterms:created>
  <dc:creator>1</dc:creator>
  <cp:lastModifiedBy>Administrator</cp:lastModifiedBy>
  <cp:lastPrinted>2023-01-13T01:23:21Z</cp:lastPrinted>
  <dcterms:modified xsi:type="dcterms:W3CDTF">2023-01-13T01:25:46Z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C628487670664F7F8BC0BC9103EC0F4B</vt:lpwstr>
  </property>
</Properties>
</file>