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北京市西城区人民政府月坛街道办事处</w:t>
      </w:r>
    </w:p>
    <w:p>
      <w:pPr>
        <w:spacing w:line="560" w:lineRule="exact"/>
        <w:jc w:val="center"/>
        <w:rPr>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年政府信息公开工作年度报告</w:t>
      </w:r>
    </w:p>
    <w:p>
      <w:pPr>
        <w:widowControl/>
        <w:spacing w:line="560" w:lineRule="exact"/>
        <w:jc w:val="left"/>
        <w:rPr>
          <w:rFonts w:ascii="仿宋_GB2312" w:hAnsi="宋体" w:eastAsia="仿宋_GB2312" w:cs="宋体"/>
          <w:spacing w:val="8"/>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依据《中华人民共和国政府信息公开条例》(以下简称《政府信息公开条例》)第五十条之规定，编制本报告。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spacing w:val="8"/>
          <w:kern w:val="0"/>
          <w:sz w:val="32"/>
          <w:szCs w:val="32"/>
        </w:rPr>
      </w:pPr>
      <w:r>
        <w:rPr>
          <w:rFonts w:hint="eastAsia" w:ascii="黑体" w:hAnsi="黑体" w:eastAsia="黑体" w:cs="宋体"/>
          <w:spacing w:val="8"/>
          <w:kern w:val="0"/>
          <w:sz w:val="32"/>
          <w:szCs w:val="32"/>
        </w:rPr>
        <w:t>一、总体情况</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pPr>
      <w:r>
        <w:rPr>
          <w:rFonts w:hint="eastAsia" w:ascii="仿宋_GB2312" w:eastAsia="仿宋_GB2312" w:hAnsiTheme="majorEastAsia"/>
          <w:sz w:val="32"/>
          <w:szCs w:val="32"/>
        </w:rPr>
        <w:t>202</w:t>
      </w:r>
      <w:r>
        <w:rPr>
          <w:rFonts w:ascii="仿宋_GB2312" w:eastAsia="仿宋_GB2312" w:hAnsiTheme="majorEastAsia"/>
          <w:sz w:val="32"/>
          <w:szCs w:val="32"/>
        </w:rPr>
        <w:t>2</w:t>
      </w:r>
      <w:r>
        <w:rPr>
          <w:rFonts w:hint="eastAsia" w:ascii="仿宋_GB2312" w:eastAsia="仿宋_GB2312" w:hAnsiTheme="majorEastAsia"/>
          <w:sz w:val="32"/>
          <w:szCs w:val="32"/>
        </w:rPr>
        <w:t>年，</w:t>
      </w:r>
      <w:r>
        <w:rPr>
          <w:rFonts w:hint="eastAsia" w:ascii="仿宋_GB2312" w:hAnsi="宋体" w:eastAsia="仿宋_GB2312" w:cs="宋体"/>
          <w:spacing w:val="8"/>
          <w:kern w:val="0"/>
          <w:sz w:val="32"/>
          <w:szCs w:val="32"/>
        </w:rPr>
        <w:t>月坛街道全面贯彻习近平新时代中国特色社会主义思想，坚持以习近平总书记对北京一系列重要讲话精神为根本遵循，</w:t>
      </w:r>
      <w:r>
        <w:rPr>
          <w:rFonts w:hint="eastAsia" w:ascii="仿宋_GB2312" w:eastAsia="仿宋_GB2312" w:hAnsiTheme="majorEastAsia"/>
          <w:sz w:val="32"/>
          <w:szCs w:val="32"/>
        </w:rPr>
        <w:t>认真贯彻落实《中华人民共和国政府信息公开条例》，严格按照《西城区202</w:t>
      </w:r>
      <w:r>
        <w:rPr>
          <w:rFonts w:ascii="仿宋_GB2312" w:eastAsia="仿宋_GB2312" w:hAnsiTheme="majorEastAsia"/>
          <w:sz w:val="32"/>
          <w:szCs w:val="32"/>
        </w:rPr>
        <w:t>2</w:t>
      </w:r>
      <w:r>
        <w:rPr>
          <w:rFonts w:hint="eastAsia" w:ascii="仿宋_GB2312" w:eastAsia="仿宋_GB2312" w:hAnsiTheme="majorEastAsia"/>
          <w:sz w:val="32"/>
          <w:szCs w:val="32"/>
        </w:rPr>
        <w:t>年政务公开工作要点》，结合街道工作实际，细化落实各项要求，持续推进政务公开工作，提升政府公信力和治理水平。</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rPr>
      </w:pPr>
      <w:r>
        <w:rPr>
          <w:rFonts w:hint="eastAsia" w:ascii="仿宋_GB2312" w:eastAsia="仿宋_GB2312" w:hAnsiTheme="majorEastAsia"/>
          <w:sz w:val="32"/>
          <w:szCs w:val="32"/>
        </w:rPr>
        <w:t>（一）机构设置情况</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我街道按照组织机构职能，成立以街道办事处主任为组长的街道信息公开领导小组,领导小组下设信息公开办公室,配备信息公开工作人员</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名。设立信息公开申请受理点1个,设置街道政务服务大厅为公共查阅点，上架政府公报、办事指南等资料提供居民查阅。</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rPr>
      </w:pPr>
      <w:r>
        <w:rPr>
          <w:rFonts w:hint="eastAsia" w:ascii="仿宋_GB2312" w:eastAsia="仿宋_GB2312" w:hAnsiTheme="majorEastAsia"/>
          <w:sz w:val="32"/>
          <w:szCs w:val="32"/>
        </w:rPr>
        <w:t>（二）主动公开情况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一是</w:t>
      </w:r>
      <w:r>
        <w:rPr>
          <w:rFonts w:hint="eastAsia" w:ascii="仿宋_GB2312" w:eastAsia="仿宋_GB2312" w:hAnsiTheme="majorEastAsia"/>
          <w:sz w:val="32"/>
          <w:szCs w:val="32"/>
        </w:rPr>
        <w:t>加强政务新媒体管理。依托月坛街道微信公众号“魅力月坛”新媒体形式，主动推送政策信息，提高政策信息到达率和适用度，扩大数字化传播力度。设立党的二十大专题学习栏目，通过组织各类学习贯彻党的二十大精神宣讲团报告会，“月读+”系列主题活动等，持续深入推进党的二十大精神的学习，引导街道各部门切实把思想和行动统一到党的二十大所确定的目标任务上，奋力开创月坛街道发展新局面。街道结合疫情防控、安全维稳、综合治理、社区活动等涉及到辖区居民等方方面面的工作进行宣传报到，有力推动地区工作的全面发展。2022年全年共推送信息700余</w:t>
      </w:r>
      <w:r>
        <w:rPr>
          <w:rFonts w:hint="eastAsia" w:ascii="仿宋_GB2312" w:eastAsia="仿宋_GB2312" w:hAnsiTheme="majorEastAsia"/>
          <w:sz w:val="32"/>
          <w:szCs w:val="32"/>
          <w:lang w:val="en-US" w:eastAsia="zh-CN"/>
        </w:rPr>
        <w:t>次</w:t>
      </w:r>
      <w:r>
        <w:rPr>
          <w:rFonts w:hint="eastAsia" w:ascii="仿宋_GB2312" w:eastAsia="仿宋_GB2312" w:hAnsiTheme="majorEastAsia"/>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二是</w:t>
      </w:r>
      <w:r>
        <w:rPr>
          <w:rFonts w:hint="eastAsia" w:ascii="仿宋_GB2312" w:eastAsia="仿宋_GB2312" w:hAnsiTheme="majorEastAsia"/>
          <w:sz w:val="32"/>
          <w:szCs w:val="32"/>
        </w:rPr>
        <w:t>做好政务信息公开工作。按照市区要求，在西城区人民政府网站上，完善政府信息公开专栏内容，及时发布街道工作动态，及时发布主动公开内容，每年3月前，按照工作要求，做好政府信息公开指南修订，进一步完善公开渠道。更新月坛街道政务公开全清单</w:t>
      </w:r>
      <w:r>
        <w:rPr>
          <w:rFonts w:hint="eastAsia" w:ascii="仿宋_GB2312" w:eastAsia="仿宋_GB2312" w:hAnsiTheme="majorEastAsia"/>
          <w:sz w:val="32"/>
          <w:szCs w:val="32"/>
          <w:highlight w:val="none"/>
        </w:rPr>
        <w:t>161项，主</w:t>
      </w:r>
      <w:r>
        <w:rPr>
          <w:rFonts w:hint="eastAsia" w:ascii="仿宋_GB2312" w:eastAsia="仿宋_GB2312" w:hAnsiTheme="majorEastAsia"/>
          <w:sz w:val="32"/>
          <w:szCs w:val="32"/>
        </w:rPr>
        <w:t>要包含街道基本信息、街道法定职责、街道领导简历、街道内设机构信息、街道信息公开指南等。</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highlight w:val="none"/>
        </w:rPr>
      </w:pPr>
      <w:r>
        <w:rPr>
          <w:rFonts w:hint="eastAsia" w:ascii="仿宋_GB2312" w:eastAsia="仿宋_GB2312" w:hAnsiTheme="majorEastAsia"/>
          <w:sz w:val="32"/>
          <w:szCs w:val="32"/>
        </w:rPr>
        <w:t>主动公开信息：1. 制作发布规章0件，规范性文件0件。2.无行政事业性收费项目，无行政事业性收费项目。3.月坛街道实施行政处罚438起，罚款672095元；行政强制0起。4.公布《月坛街道2021年度部门决算公开目录》和《月坛街道办事处2022年部门预算公开》，2022年政府集中采购项目20项，采购金额136万元。5</w:t>
      </w:r>
      <w:r>
        <w:rPr>
          <w:rFonts w:hint="eastAsia" w:ascii="仿宋_GB2312" w:eastAsia="仿宋_GB2312" w:hAnsiTheme="majorEastAsia"/>
          <w:sz w:val="32"/>
          <w:szCs w:val="32"/>
          <w:highlight w:val="none"/>
        </w:rPr>
        <w:t>. 2022年</w:t>
      </w:r>
      <w:r>
        <w:rPr>
          <w:rFonts w:hint="eastAsia" w:ascii="仿宋_GB2312" w:eastAsia="仿宋_GB2312" w:hAnsiTheme="majorEastAsia"/>
          <w:sz w:val="32"/>
          <w:szCs w:val="32"/>
          <w:highlight w:val="none"/>
          <w:lang w:val="en-US" w:eastAsia="zh-CN"/>
        </w:rPr>
        <w:t>主动</w:t>
      </w:r>
      <w:r>
        <w:rPr>
          <w:rFonts w:hint="eastAsia" w:ascii="仿宋_GB2312" w:eastAsia="仿宋_GB2312" w:hAnsiTheme="majorEastAsia"/>
          <w:sz w:val="32"/>
          <w:szCs w:val="32"/>
          <w:highlight w:val="none"/>
        </w:rPr>
        <w:t>公开信息</w:t>
      </w:r>
      <w:r>
        <w:rPr>
          <w:rFonts w:hint="eastAsia" w:ascii="仿宋_GB2312" w:eastAsia="仿宋_GB2312" w:hAnsiTheme="majorEastAsia"/>
          <w:sz w:val="32"/>
          <w:szCs w:val="32"/>
          <w:highlight w:val="none"/>
          <w:lang w:val="en-US" w:eastAsia="zh-CN"/>
        </w:rPr>
        <w:t>288</w:t>
      </w:r>
      <w:r>
        <w:rPr>
          <w:rFonts w:hint="eastAsia" w:ascii="仿宋_GB2312" w:eastAsia="仿宋_GB2312" w:hAnsiTheme="majorEastAsia"/>
          <w:sz w:val="32"/>
          <w:szCs w:val="32"/>
          <w:highlight w:val="none"/>
        </w:rPr>
        <w:t>个。</w:t>
      </w:r>
      <w:bookmarkStart w:id="0" w:name="_GoBack"/>
      <w:bookmarkEnd w:id="0"/>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rPr>
      </w:pPr>
      <w:r>
        <w:rPr>
          <w:rFonts w:hint="eastAsia" w:ascii="仿宋_GB2312" w:eastAsia="仿宋_GB2312" w:hAnsiTheme="majorEastAsia"/>
          <w:sz w:val="32"/>
          <w:szCs w:val="32"/>
        </w:rPr>
        <w:t>（三）依申请公开情况</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eastAsia="仿宋_GB2312" w:hAnsiTheme="majorEastAsia"/>
          <w:sz w:val="32"/>
          <w:szCs w:val="32"/>
        </w:rPr>
      </w:pPr>
      <w:r>
        <w:rPr>
          <w:rFonts w:hint="eastAsia" w:ascii="仿宋_GB2312" w:eastAsia="仿宋_GB2312" w:hAnsiTheme="majorEastAsia"/>
          <w:sz w:val="32"/>
          <w:szCs w:val="32"/>
        </w:rPr>
        <w:t>依法依规办理政府信息公开申请，严格按照信息公开申请条例要求，通过电子邮箱、邮政、电话等形式，与相关科室、律师共同做好答复内容的核定，并在法定时限内答复。按照信息公开复议和诉讼案件报备管理规范，按期提交答复意见书及相关证据，收集复议相关材料，配合复议机构调查、对行政复议意见书按时回复并整改。不断提升答复文书规范化水平，有效降低败诉率、纠错率。202</w:t>
      </w:r>
      <w:r>
        <w:rPr>
          <w:rFonts w:ascii="仿宋_GB2312" w:eastAsia="仿宋_GB2312" w:hAnsiTheme="majorEastAsia"/>
          <w:sz w:val="32"/>
          <w:szCs w:val="32"/>
        </w:rPr>
        <w:t>2</w:t>
      </w:r>
      <w:r>
        <w:rPr>
          <w:rFonts w:hint="eastAsia" w:ascii="仿宋_GB2312" w:eastAsia="仿宋_GB2312" w:hAnsiTheme="majorEastAsia"/>
          <w:sz w:val="32"/>
          <w:szCs w:val="32"/>
        </w:rPr>
        <w:t>年，我街道收到政府信息公开申请</w:t>
      </w:r>
      <w:r>
        <w:rPr>
          <w:rFonts w:ascii="仿宋_GB2312" w:eastAsia="仿宋_GB2312" w:hAnsiTheme="majorEastAsia"/>
          <w:sz w:val="32"/>
          <w:szCs w:val="32"/>
        </w:rPr>
        <w:t>0</w:t>
      </w:r>
      <w:r>
        <w:rPr>
          <w:rFonts w:hint="eastAsia" w:ascii="仿宋_GB2312" w:eastAsia="仿宋_GB2312" w:hAnsiTheme="majorEastAsia"/>
          <w:sz w:val="32"/>
          <w:szCs w:val="32"/>
        </w:rPr>
        <w:t>件，政府信息公开行政复议0件。</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（四）政务服务大厅的政务公开工作</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hAnsiTheme="majorEastAsia"/>
          <w:sz w:val="32"/>
          <w:szCs w:val="32"/>
        </w:rPr>
        <w:t>设立政策咨询综合服务窗口，为群众、企业提供政策咨询服务。</w:t>
      </w:r>
      <w:r>
        <w:rPr>
          <w:rFonts w:hint="eastAsia" w:ascii="仿宋_GB2312" w:hAnsi="仿宋_GB2312" w:eastAsia="仿宋_GB2312" w:cs="仿宋_GB2312"/>
          <w:sz w:val="32"/>
          <w:szCs w:val="32"/>
        </w:rPr>
        <w:t>月坛街道政务服务中心</w:t>
      </w:r>
      <w:r>
        <w:rPr>
          <w:rFonts w:hint="eastAsia" w:ascii="仿宋_GB2312" w:hAnsi="仿宋_GB2312" w:eastAsia="仿宋_GB2312" w:cs="仿宋_GB2312"/>
          <w:sz w:val="32"/>
          <w:szCs w:val="32"/>
          <w:lang w:val="en-US" w:eastAsia="zh-CN"/>
        </w:rPr>
        <w:t>对外服务事项191项，</w:t>
      </w:r>
      <w:r>
        <w:rPr>
          <w:rFonts w:hint="eastAsia" w:ascii="仿宋_GB2312" w:hAnsi="仿宋_GB2312" w:eastAsia="仿宋_GB2312" w:cs="仿宋_GB2312"/>
          <w:sz w:val="32"/>
          <w:szCs w:val="32"/>
        </w:rPr>
        <w:t>全年办理业务共计</w:t>
      </w:r>
      <w:r>
        <w:rPr>
          <w:rFonts w:hint="eastAsia" w:ascii="仿宋_GB2312" w:hAnsi="仿宋_GB2312" w:eastAsia="仿宋_GB2312" w:cs="仿宋_GB2312"/>
          <w:sz w:val="32"/>
          <w:szCs w:val="32"/>
          <w:lang w:val="en-US" w:eastAsia="zh-CN"/>
        </w:rPr>
        <w:t>23831</w:t>
      </w:r>
      <w:r>
        <w:rPr>
          <w:rFonts w:hint="eastAsia" w:ascii="仿宋_GB2312" w:hAnsi="仿宋_GB2312" w:eastAsia="仿宋_GB2312" w:cs="仿宋_GB2312"/>
          <w:sz w:val="32"/>
          <w:szCs w:val="32"/>
        </w:rPr>
        <w:t>件，接待咨询</w:t>
      </w:r>
      <w:r>
        <w:rPr>
          <w:rFonts w:hint="eastAsia" w:ascii="仿宋_GB2312" w:hAnsi="仿宋_GB2312" w:eastAsia="仿宋_GB2312" w:cs="仿宋_GB2312"/>
          <w:sz w:val="32"/>
          <w:szCs w:val="32"/>
          <w:lang w:val="en-US" w:eastAsia="zh-CN"/>
        </w:rPr>
        <w:t>30699</w:t>
      </w:r>
      <w:r>
        <w:rPr>
          <w:rFonts w:hint="eastAsia" w:ascii="仿宋_GB2312" w:hAnsi="仿宋_GB2312" w:eastAsia="仿宋_GB2312" w:cs="仿宋_GB2312"/>
          <w:sz w:val="32"/>
          <w:szCs w:val="32"/>
        </w:rPr>
        <w:t>次。认真贯彻执行“午间不打烊”“周六不打烊”“早晚弹性办”延时服务工作模式。全年开展延时服务总时长</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小时，累计接待办事居民</w:t>
      </w:r>
      <w:r>
        <w:rPr>
          <w:rFonts w:hint="eastAsia" w:ascii="仿宋_GB2312" w:hAnsi="仿宋_GB2312" w:eastAsia="仿宋_GB2312" w:cs="仿宋_GB2312"/>
          <w:sz w:val="32"/>
          <w:szCs w:val="32"/>
          <w:lang w:val="en-US" w:eastAsia="zh-CN"/>
        </w:rPr>
        <w:t>4100</w:t>
      </w:r>
      <w:r>
        <w:rPr>
          <w:rFonts w:hint="eastAsia" w:ascii="仿宋_GB2312" w:hAnsi="仿宋_GB2312" w:eastAsia="仿宋_GB2312" w:cs="仿宋_GB2312"/>
          <w:sz w:val="32"/>
          <w:szCs w:val="32"/>
        </w:rPr>
        <w:t>人次，办理事项</w:t>
      </w:r>
      <w:r>
        <w:rPr>
          <w:rFonts w:hint="eastAsia" w:ascii="仿宋_GB2312" w:hAnsi="仿宋_GB2312" w:eastAsia="仿宋_GB2312" w:cs="仿宋_GB2312"/>
          <w:sz w:val="32"/>
          <w:szCs w:val="32"/>
          <w:lang w:val="en-US" w:eastAsia="zh-CN"/>
        </w:rPr>
        <w:t>3922</w:t>
      </w:r>
      <w:r>
        <w:rPr>
          <w:rFonts w:hint="eastAsia" w:ascii="仿宋_GB2312" w:hAnsi="仿宋_GB2312" w:eastAsia="仿宋_GB2312" w:cs="仿宋_GB2312"/>
          <w:sz w:val="32"/>
          <w:szCs w:val="32"/>
        </w:rPr>
        <w:t>件。进一步提升居民办事效率，在社区服务站摆放易拉宝，在“魅力月坛”公众号推送“社区政务服务事项”，在各社区宣传能够在社区办理的政务服务事项，实现居民不出社区办政务。同时督促指导社区落实服务承诺等各项制度、落实综合窗口运行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hAnsiTheme="majorEastAsia"/>
          <w:sz w:val="32"/>
          <w:szCs w:val="32"/>
        </w:rPr>
        <w:t>（五）</w:t>
      </w:r>
      <w:r>
        <w:rPr>
          <w:rFonts w:hint="eastAsia" w:ascii="仿宋_GB2312" w:hAnsi="仿宋_GB2312" w:eastAsia="仿宋_GB2312" w:cs="仿宋_GB2312"/>
          <w:sz w:val="32"/>
          <w:szCs w:val="32"/>
        </w:rPr>
        <w:t>加强平台建设和政务公开业务培训。</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eastAsia="仿宋_GB2312" w:hAnsiTheme="majorEastAsia"/>
          <w:sz w:val="32"/>
          <w:szCs w:val="32"/>
        </w:rPr>
        <w:t>切实做好市级信息公开平台及政府网站建设。每月月初按时报送月报数据，按照“谁主管谁负责，谁公开谁审查，谁出问题谁负责”的要求，认真落实好《月坛街道信息公开保密审查制度》、《月坛街道微信公众号审核发布制度》等, 全力做好政务网站内容保障，确保政务信息发布的及时、有效、权威。</w:t>
      </w:r>
      <w:r>
        <w:rPr>
          <w:rFonts w:hint="eastAsia" w:ascii="仿宋_GB2312" w:hAnsi="仿宋_GB2312" w:eastAsia="仿宋_GB2312" w:cs="仿宋_GB2312"/>
          <w:sz w:val="32"/>
          <w:szCs w:val="32"/>
        </w:rPr>
        <w:t>街道主要领导、主管领导及相关人员按时参加全区组织的政务公开要点培训，并将培训内容及《政府信息公开条例》等相关内容发至各大办，组织机关干部开展自学，进一步加强业务培训，提高业务水平。</w:t>
      </w:r>
    </w:p>
    <w:p>
      <w:pPr>
        <w:pStyle w:val="2"/>
        <w:spacing w:after="0" w:line="560" w:lineRule="exact"/>
        <w:ind w:left="0" w:leftChars="0" w:firstLine="64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9"/>
        <w:tblW w:w="9735" w:type="dxa"/>
        <w:jc w:val="center"/>
        <w:tblInd w:w="0" w:type="dxa"/>
        <w:tblLayout w:type="fixed"/>
        <w:tblCellMar>
          <w:top w:w="0" w:type="dxa"/>
          <w:left w:w="0" w:type="dxa"/>
          <w:bottom w:w="0" w:type="dxa"/>
          <w:right w:w="0" w:type="dxa"/>
        </w:tblCellMar>
      </w:tblPr>
      <w:tblGrid>
        <w:gridCol w:w="2433"/>
        <w:gridCol w:w="2434"/>
        <w:gridCol w:w="2434"/>
        <w:gridCol w:w="2434"/>
      </w:tblGrid>
      <w:tr>
        <w:tblPrEx>
          <w:tblLayout w:type="fixed"/>
          <w:tblCellMar>
            <w:top w:w="0" w:type="dxa"/>
            <w:left w:w="0" w:type="dxa"/>
            <w:bottom w:w="0" w:type="dxa"/>
            <w:right w:w="0" w:type="dxa"/>
          </w:tblCellMar>
        </w:tblPrEx>
        <w:trPr>
          <w:trHeight w:val="340" w:hRule="atLeast"/>
          <w:jc w:val="center"/>
        </w:trPr>
        <w:tc>
          <w:tcPr>
            <w:tcW w:w="9735"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2434"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4"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本年废止件数</w:t>
            </w:r>
          </w:p>
        </w:tc>
        <w:tc>
          <w:tcPr>
            <w:tcW w:w="2434"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规章</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行政规范性文件</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243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r>
      <w:tr>
        <w:tblPrEx>
          <w:tblLayout w:type="fixed"/>
          <w:tblCellMar>
            <w:top w:w="0" w:type="dxa"/>
            <w:left w:w="0" w:type="dxa"/>
            <w:bottom w:w="0" w:type="dxa"/>
            <w:right w:w="0" w:type="dxa"/>
          </w:tblCellMar>
        </w:tblPrEx>
        <w:trPr>
          <w:trHeight w:val="340" w:hRule="atLeast"/>
          <w:jc w:val="center"/>
        </w:trPr>
        <w:tc>
          <w:tcPr>
            <w:tcW w:w="9735"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2"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805"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行政许可</w:t>
            </w:r>
          </w:p>
        </w:tc>
        <w:tc>
          <w:tcPr>
            <w:tcW w:w="7302"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pPr>
            <w:r>
              <w:rPr>
                <w:rFonts w:hint="eastAsia"/>
                <w:sz w:val="24"/>
                <w:szCs w:val="24"/>
              </w:rPr>
              <w:t>0</w:t>
            </w:r>
          </w:p>
        </w:tc>
      </w:tr>
      <w:tr>
        <w:tblPrEx>
          <w:tblLayout w:type="fixed"/>
          <w:tblCellMar>
            <w:top w:w="0" w:type="dxa"/>
            <w:left w:w="0" w:type="dxa"/>
            <w:bottom w:w="0" w:type="dxa"/>
            <w:right w:w="0" w:type="dxa"/>
          </w:tblCellMar>
        </w:tblPrEx>
        <w:trPr>
          <w:trHeight w:val="340" w:hRule="atLeast"/>
          <w:jc w:val="center"/>
        </w:trPr>
        <w:tc>
          <w:tcPr>
            <w:tcW w:w="9735"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2"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106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行政处罚</w:t>
            </w:r>
          </w:p>
        </w:tc>
        <w:tc>
          <w:tcPr>
            <w:tcW w:w="7302"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pPr>
            <w:r>
              <w:rPr>
                <w:sz w:val="24"/>
                <w:szCs w:val="24"/>
              </w:rPr>
              <w:t>438</w:t>
            </w:r>
          </w:p>
        </w:tc>
      </w:tr>
      <w:tr>
        <w:tblPrEx>
          <w:tblLayout w:type="fixed"/>
          <w:tblCellMar>
            <w:top w:w="0" w:type="dxa"/>
            <w:left w:w="0" w:type="dxa"/>
            <w:bottom w:w="0" w:type="dxa"/>
            <w:right w:w="0" w:type="dxa"/>
          </w:tblCellMar>
        </w:tblPrEx>
        <w:trPr>
          <w:trHeight w:val="805"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行政强制</w:t>
            </w:r>
          </w:p>
        </w:tc>
        <w:tc>
          <w:tcPr>
            <w:tcW w:w="7302"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pPr>
            <w:r>
              <w:rPr>
                <w:sz w:val="24"/>
                <w:szCs w:val="24"/>
              </w:rPr>
              <w:t>0</w:t>
            </w:r>
          </w:p>
        </w:tc>
      </w:tr>
      <w:tr>
        <w:tblPrEx>
          <w:tblLayout w:type="fixed"/>
          <w:tblCellMar>
            <w:top w:w="0" w:type="dxa"/>
            <w:left w:w="0" w:type="dxa"/>
            <w:bottom w:w="0" w:type="dxa"/>
            <w:right w:w="0" w:type="dxa"/>
          </w:tblCellMar>
        </w:tblPrEx>
        <w:trPr>
          <w:trHeight w:val="340" w:hRule="atLeast"/>
          <w:jc w:val="center"/>
        </w:trPr>
        <w:tc>
          <w:tcPr>
            <w:tcW w:w="9735"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信息内容</w:t>
            </w:r>
          </w:p>
        </w:tc>
        <w:tc>
          <w:tcPr>
            <w:tcW w:w="7302"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widowControl/>
              <w:spacing w:line="560" w:lineRule="exact"/>
              <w:jc w:val="center"/>
            </w:pPr>
            <w:r>
              <w:rPr>
                <w:rFonts w:hint="eastAsia" w:ascii="宋体" w:hAnsi="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750" w:hRule="atLeast"/>
          <w:jc w:val="center"/>
        </w:trPr>
        <w:tc>
          <w:tcPr>
            <w:tcW w:w="2433"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color w:val="000000"/>
                <w:kern w:val="0"/>
                <w:sz w:val="20"/>
                <w:szCs w:val="20"/>
              </w:rPr>
              <w:t>行政事业性收费</w:t>
            </w:r>
          </w:p>
        </w:tc>
        <w:tc>
          <w:tcPr>
            <w:tcW w:w="7302"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560" w:lineRule="exact"/>
              <w:jc w:val="center"/>
              <w:rPr>
                <w:rFonts w:ascii="宋体"/>
                <w:sz w:val="24"/>
                <w:szCs w:val="24"/>
              </w:rPr>
            </w:pPr>
            <w:r>
              <w:rPr>
                <w:rFonts w:hint="eastAsia"/>
                <w:sz w:val="24"/>
                <w:szCs w:val="24"/>
              </w:rPr>
              <w:t>0</w:t>
            </w:r>
          </w:p>
        </w:tc>
      </w:tr>
    </w:tbl>
    <w:p>
      <w:pPr>
        <w:pStyle w:val="5"/>
        <w:spacing w:line="560" w:lineRule="exact"/>
      </w:pPr>
    </w:p>
    <w:p>
      <w:pPr>
        <w:pStyle w:val="5"/>
        <w:spacing w:line="560" w:lineRule="exact"/>
      </w:pPr>
      <w:r>
        <w:rPr>
          <w:rFonts w:hint="eastAsia"/>
        </w:rPr>
        <w:br w:type="page"/>
      </w:r>
    </w:p>
    <w:p>
      <w:pPr>
        <w:spacing w:line="560" w:lineRule="exact"/>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9"/>
        <w:tblW w:w="975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1"/>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widowControl/>
              <w:spacing w:line="560" w:lineRule="exact"/>
              <w:jc w:val="left"/>
            </w:pPr>
            <w:r>
              <w:rPr>
                <w:rFonts w:hint="eastAsia"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vMerge w:val="continue"/>
            <w:tcBorders>
              <w:top w:val="single" w:color="auto" w:sz="8" w:space="0"/>
              <w:left w:val="single" w:color="auto" w:sz="8" w:space="0"/>
              <w:bottom w:val="outset" w:color="auto" w:sz="8" w:space="0"/>
              <w:right w:val="single" w:color="auto" w:sz="8" w:space="0"/>
            </w:tcBorders>
            <w:vAlign w:val="center"/>
          </w:tcPr>
          <w:p>
            <w:pPr>
              <w:widowControl/>
              <w:spacing w:line="560" w:lineRule="exact"/>
              <w:jc w:val="left"/>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vMerge w:val="continue"/>
            <w:tcBorders>
              <w:top w:val="single" w:color="auto" w:sz="8" w:space="0"/>
              <w:left w:val="single" w:color="auto" w:sz="8" w:space="0"/>
              <w:bottom w:val="outset" w:color="auto" w:sz="8" w:space="0"/>
              <w:right w:val="single" w:color="auto" w:sz="8" w:space="0"/>
            </w:tcBorders>
            <w:vAlign w:val="center"/>
          </w:tcPr>
          <w:p>
            <w:pPr>
              <w:widowControl/>
              <w:spacing w:line="560" w:lineRule="exact"/>
              <w:jc w:val="left"/>
            </w:pPr>
          </w:p>
        </w:tc>
        <w:tc>
          <w:tcPr>
            <w:tcW w:w="688" w:type="dxa"/>
            <w:vMerge w:val="continue"/>
            <w:tcBorders>
              <w:top w:val="nil"/>
              <w:left w:val="nil"/>
              <w:bottom w:val="single" w:color="auto" w:sz="8" w:space="0"/>
              <w:right w:val="single" w:color="auto" w:sz="8" w:space="0"/>
            </w:tcBorders>
            <w:vAlign w:val="center"/>
          </w:tcPr>
          <w:p>
            <w:pPr>
              <w:widowControl/>
              <w:spacing w:line="560" w:lineRule="exact"/>
              <w:jc w:val="left"/>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商业</w:t>
            </w:r>
          </w:p>
          <w:p>
            <w:pPr>
              <w:widowControl/>
              <w:spacing w:line="560" w:lineRule="exact"/>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科研</w:t>
            </w:r>
          </w:p>
          <w:p>
            <w:pPr>
              <w:widowControl/>
              <w:spacing w:line="560" w:lineRule="exact"/>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vAlign w:val="center"/>
          </w:tcPr>
          <w:p>
            <w:pPr>
              <w:widowControl/>
              <w:spacing w:line="560" w:lineRule="exact"/>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三、本年度办理结果</w:t>
            </w:r>
          </w:p>
        </w:tc>
        <w:tc>
          <w:tcPr>
            <w:tcW w:w="4164"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4164"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（三）不予公开</w:t>
            </w: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（四）无法提供</w:t>
            </w: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（五）不予处理</w:t>
            </w: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nil"/>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pPr>
            <w:r>
              <w:rPr>
                <w:rFonts w:hint="eastAsia" w:ascii="宋体" w:hAnsi="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outset"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restart"/>
            <w:tcBorders>
              <w:top w:val="outset" w:color="auto" w:sz="8" w:space="0"/>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（六）其他处理</w:t>
            </w: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outset" w:color="auto" w:sz="8" w:space="0"/>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943" w:type="dxa"/>
            <w:vMerge w:val="continue"/>
            <w:tcBorders>
              <w:top w:val="outset" w:color="auto" w:sz="8" w:space="0"/>
              <w:left w:val="nil"/>
              <w:bottom w:val="outset" w:color="auto" w:sz="8" w:space="0"/>
              <w:right w:val="single" w:color="auto" w:sz="8" w:space="0"/>
            </w:tcBorders>
            <w:vAlign w:val="center"/>
          </w:tcPr>
          <w:p>
            <w:pPr>
              <w:widowControl/>
              <w:spacing w:line="560" w:lineRule="exact"/>
              <w:jc w:val="left"/>
            </w:pPr>
          </w:p>
        </w:tc>
        <w:tc>
          <w:tcPr>
            <w:tcW w:w="3221"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rFonts w:hint="eastAsia"/>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vAlign w:val="center"/>
          </w:tcPr>
          <w:p>
            <w:pPr>
              <w:widowControl/>
              <w:spacing w:line="560" w:lineRule="exact"/>
              <w:jc w:val="left"/>
            </w:pPr>
          </w:p>
        </w:tc>
        <w:tc>
          <w:tcPr>
            <w:tcW w:w="4164"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sz w:val="24"/>
                <w:szCs w:val="24"/>
              </w:rPr>
            </w:pPr>
            <w:r>
              <w:rPr>
                <w:rFonts w:hint="eastAsia"/>
                <w:sz w:val="24"/>
                <w:szCs w:val="24"/>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sz w:val="24"/>
                <w:szCs w:val="24"/>
              </w:rPr>
            </w:pPr>
            <w:r>
              <w:rPr>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3"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8"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c>
          <w:tcPr>
            <w:tcW w:w="689" w:type="dxa"/>
            <w:tcBorders>
              <w:top w:val="outset" w:color="auto" w:sz="6" w:space="0"/>
              <w:left w:val="nil"/>
              <w:bottom w:val="outset" w:color="auto" w:sz="6" w:space="0"/>
              <w:right w:val="outset" w:color="auto" w:sz="6" w:space="0"/>
            </w:tcBorders>
            <w:vAlign w:val="center"/>
          </w:tcPr>
          <w:p>
            <w:pPr>
              <w:widowControl/>
              <w:spacing w:line="560" w:lineRule="exact"/>
              <w:jc w:val="center"/>
              <w:rPr>
                <w:sz w:val="24"/>
                <w:szCs w:val="24"/>
              </w:rPr>
            </w:pPr>
            <w:r>
              <w:rPr>
                <w:rFonts w:hint="eastAsia"/>
                <w:sz w:val="24"/>
                <w:szCs w:val="24"/>
              </w:rPr>
              <w:t>0</w:t>
            </w:r>
          </w:p>
        </w:tc>
      </w:tr>
    </w:tbl>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W w:w="975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7"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vAlign w:val="center"/>
          </w:tcPr>
          <w:p>
            <w:pPr>
              <w:widowControl/>
              <w:spacing w:line="560" w:lineRule="exact"/>
              <w:jc w:val="left"/>
            </w:pPr>
          </w:p>
        </w:tc>
        <w:tc>
          <w:tcPr>
            <w:tcW w:w="650" w:type="dxa"/>
            <w:vMerge w:val="continue"/>
            <w:tcBorders>
              <w:top w:val="nil"/>
              <w:left w:val="single" w:color="auto" w:sz="8" w:space="0"/>
              <w:bottom w:val="single" w:color="auto" w:sz="8" w:space="0"/>
              <w:right w:val="single" w:color="auto" w:sz="8" w:space="0"/>
            </w:tcBorders>
            <w:vAlign w:val="center"/>
          </w:tcPr>
          <w:p>
            <w:pPr>
              <w:widowControl/>
              <w:spacing w:line="560" w:lineRule="exact"/>
              <w:jc w:val="left"/>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pPr>
            <w:r>
              <w:rPr>
                <w:rFonts w:hint="eastAsia" w:ascii="宋体" w:hAnsi="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w:t>
            </w:r>
            <w:r>
              <w:rPr>
                <w:sz w:val="24"/>
                <w:szCs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sz w:val="24"/>
                <w:szCs w:val="24"/>
              </w:rPr>
            </w:pPr>
            <w:r>
              <w:rPr>
                <w:rFonts w:hint="eastAsia"/>
                <w:sz w:val="24"/>
                <w:szCs w:val="24"/>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exact"/>
              <w:rPr>
                <w:sz w:val="24"/>
                <w:szCs w:val="24"/>
              </w:rPr>
            </w:pPr>
            <w:r>
              <w:rPr>
                <w:rFonts w:hint="eastAsia"/>
                <w:sz w:val="24"/>
                <w:szCs w:val="24"/>
              </w:rPr>
              <w:t>0</w:t>
            </w:r>
          </w:p>
        </w:tc>
      </w:tr>
    </w:tbl>
    <w:p>
      <w:pPr>
        <w:widowControl/>
        <w:spacing w:line="560" w:lineRule="exact"/>
        <w:jc w:val="left"/>
        <w:rPr>
          <w:rFonts w:ascii="宋体" w:hAnsi="宋体" w:cs="宋体"/>
          <w:spacing w:val="8"/>
          <w:kern w:val="0"/>
          <w:sz w:val="24"/>
        </w:rPr>
      </w:pPr>
      <w:r>
        <w:rPr>
          <w:rFonts w:hint="eastAsia" w:ascii="黑体" w:hAnsi="黑体" w:eastAsia="黑体" w:cs="宋体"/>
          <w:spacing w:val="8"/>
          <w:kern w:val="0"/>
          <w:sz w:val="32"/>
          <w:szCs w:val="32"/>
        </w:rPr>
        <w:t>五、存在的主要问题及改进情况</w:t>
      </w:r>
    </w:p>
    <w:p>
      <w:pPr>
        <w:pStyle w:val="2"/>
        <w:ind w:left="0" w:leftChars="0"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存在问题：1.</w:t>
      </w:r>
      <w:r>
        <w:rPr>
          <w:rFonts w:hint="eastAsia" w:ascii="仿宋_GB2312" w:eastAsia="仿宋_GB2312"/>
          <w:color w:val="000000"/>
          <w:sz w:val="32"/>
          <w:szCs w:val="32"/>
        </w:rPr>
        <w:t>政务信息公开动态更新</w:t>
      </w:r>
      <w:r>
        <w:rPr>
          <w:rFonts w:hint="eastAsia" w:ascii="仿宋_GB2312" w:eastAsia="仿宋_GB2312"/>
          <w:color w:val="000000"/>
          <w:sz w:val="32"/>
          <w:szCs w:val="32"/>
          <w:lang w:val="en-US" w:eastAsia="zh-CN"/>
        </w:rPr>
        <w:t>有待加强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政府信息公开队伍业务能力</w:t>
      </w:r>
      <w:r>
        <w:rPr>
          <w:rFonts w:hint="eastAsia" w:ascii="仿宋_GB2312" w:eastAsia="仿宋_GB2312"/>
          <w:color w:val="000000"/>
          <w:sz w:val="32"/>
          <w:szCs w:val="32"/>
          <w:lang w:val="en-US" w:eastAsia="zh-CN"/>
        </w:rPr>
        <w:t>有待提高</w:t>
      </w:r>
      <w:r>
        <w:rPr>
          <w:rFonts w:hint="eastAsia" w:ascii="仿宋_GB2312" w:eastAsia="仿宋_GB2312"/>
          <w:color w:val="000000"/>
          <w:sz w:val="32"/>
          <w:szCs w:val="32"/>
        </w:rPr>
        <w:t>。</w:t>
      </w:r>
    </w:p>
    <w:p>
      <w:pPr>
        <w:pStyle w:val="2"/>
        <w:ind w:left="0" w:leftChars="0" w:firstLine="640"/>
      </w:pPr>
      <w:r>
        <w:rPr>
          <w:rFonts w:hint="eastAsia" w:ascii="仿宋_GB2312" w:eastAsia="仿宋_GB2312"/>
          <w:color w:val="000000"/>
          <w:sz w:val="32"/>
          <w:szCs w:val="32"/>
          <w:lang w:val="en-US" w:eastAsia="zh-CN"/>
        </w:rPr>
        <w:t>具体措施：一是</w:t>
      </w:r>
      <w:r>
        <w:rPr>
          <w:rFonts w:hint="eastAsia" w:ascii="仿宋_GB2312" w:eastAsia="仿宋_GB2312"/>
          <w:color w:val="000000"/>
          <w:sz w:val="32"/>
          <w:szCs w:val="32"/>
        </w:rPr>
        <w:t>完善政府信息公开动态管理机制，对于已公开的法律、法规、规章、规范性文件等重要政府信息，要根据立、改、废等情况动态调整更新。</w:t>
      </w:r>
      <w:r>
        <w:rPr>
          <w:rFonts w:hint="eastAsia" w:ascii="仿宋_GB2312" w:eastAsia="仿宋_GB2312"/>
          <w:color w:val="000000"/>
          <w:sz w:val="32"/>
          <w:szCs w:val="32"/>
          <w:lang w:val="en-US" w:eastAsia="zh-CN"/>
        </w:rPr>
        <w:t>二是</w:t>
      </w:r>
      <w:r>
        <w:rPr>
          <w:rFonts w:hint="eastAsia" w:ascii="仿宋_GB2312" w:eastAsia="仿宋_GB2312"/>
          <w:color w:val="000000"/>
          <w:sz w:val="32"/>
          <w:szCs w:val="32"/>
        </w:rPr>
        <w:t>深</w:t>
      </w:r>
      <w:r>
        <w:rPr>
          <w:rFonts w:hint="eastAsia" w:ascii="仿宋_GB2312" w:eastAsia="仿宋_GB2312"/>
          <w:sz w:val="32"/>
          <w:szCs w:val="32"/>
        </w:rPr>
        <w:t>入</w:t>
      </w:r>
      <w:r>
        <w:rPr>
          <w:rFonts w:hint="eastAsia" w:ascii="仿宋_GB2312" w:eastAsia="仿宋_GB2312"/>
          <w:color w:val="000000"/>
          <w:sz w:val="32"/>
          <w:szCs w:val="32"/>
        </w:rPr>
        <w:t>贯彻落实《政府信息公开条例》，做好主动公开、依申请公开、解读回应、政府网站及政务新媒体管理等业务培训，不断提升业务实操能力。</w:t>
      </w:r>
    </w:p>
    <w:p>
      <w:pPr>
        <w:widowControl/>
        <w:spacing w:line="560" w:lineRule="exact"/>
        <w:jc w:val="left"/>
        <w:rPr>
          <w:rFonts w:ascii="宋体" w:hAnsi="宋体" w:cs="宋体"/>
          <w:spacing w:val="8"/>
          <w:kern w:val="0"/>
          <w:sz w:val="32"/>
          <w:szCs w:val="32"/>
        </w:rPr>
      </w:pPr>
      <w:r>
        <w:rPr>
          <w:rFonts w:hint="eastAsia" w:ascii="黑体" w:hAnsi="黑体" w:eastAsia="黑体" w:cs="宋体"/>
          <w:spacing w:val="8"/>
          <w:kern w:val="0"/>
          <w:sz w:val="32"/>
          <w:szCs w:val="32"/>
        </w:rPr>
        <w:t>六、其他需要报告的事项</w:t>
      </w:r>
    </w:p>
    <w:p>
      <w:pPr>
        <w:spacing w:line="560" w:lineRule="exact"/>
        <w:ind w:firstLine="672" w:firstLineChars="200"/>
      </w:pPr>
      <w:r>
        <w:rPr>
          <w:rFonts w:hint="eastAsia" w:ascii="仿宋_GB2312" w:hAnsi="宋体" w:eastAsia="仿宋_GB2312" w:cs="宋体"/>
          <w:spacing w:val="8"/>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B1"/>
    <w:rsid w:val="0005076E"/>
    <w:rsid w:val="00086DF1"/>
    <w:rsid w:val="00092085"/>
    <w:rsid w:val="00096AB3"/>
    <w:rsid w:val="000A3B00"/>
    <w:rsid w:val="000C5FAF"/>
    <w:rsid w:val="000D3018"/>
    <w:rsid w:val="00106DC9"/>
    <w:rsid w:val="00126CFC"/>
    <w:rsid w:val="0013162D"/>
    <w:rsid w:val="00186EDC"/>
    <w:rsid w:val="001B0F38"/>
    <w:rsid w:val="001B26DA"/>
    <w:rsid w:val="001D7165"/>
    <w:rsid w:val="001E13CB"/>
    <w:rsid w:val="001E1589"/>
    <w:rsid w:val="00202E53"/>
    <w:rsid w:val="00205881"/>
    <w:rsid w:val="00224D5A"/>
    <w:rsid w:val="0025116B"/>
    <w:rsid w:val="002A4AA1"/>
    <w:rsid w:val="002D6940"/>
    <w:rsid w:val="00300679"/>
    <w:rsid w:val="003147DC"/>
    <w:rsid w:val="0032066B"/>
    <w:rsid w:val="00345C94"/>
    <w:rsid w:val="00357413"/>
    <w:rsid w:val="00382559"/>
    <w:rsid w:val="003A0D08"/>
    <w:rsid w:val="003D568D"/>
    <w:rsid w:val="003F192A"/>
    <w:rsid w:val="00430FCD"/>
    <w:rsid w:val="004329C9"/>
    <w:rsid w:val="00433C5A"/>
    <w:rsid w:val="0043721E"/>
    <w:rsid w:val="00484475"/>
    <w:rsid w:val="004942D6"/>
    <w:rsid w:val="004A652B"/>
    <w:rsid w:val="004D569E"/>
    <w:rsid w:val="004F302D"/>
    <w:rsid w:val="00500C81"/>
    <w:rsid w:val="00524324"/>
    <w:rsid w:val="00551B9C"/>
    <w:rsid w:val="00560D27"/>
    <w:rsid w:val="005B3431"/>
    <w:rsid w:val="005B7302"/>
    <w:rsid w:val="0063178F"/>
    <w:rsid w:val="00667D03"/>
    <w:rsid w:val="00686533"/>
    <w:rsid w:val="00687DC5"/>
    <w:rsid w:val="006931CE"/>
    <w:rsid w:val="006B51B1"/>
    <w:rsid w:val="006D2B35"/>
    <w:rsid w:val="007006F4"/>
    <w:rsid w:val="00796D65"/>
    <w:rsid w:val="007C5E52"/>
    <w:rsid w:val="007D711B"/>
    <w:rsid w:val="00826BA7"/>
    <w:rsid w:val="00830DBD"/>
    <w:rsid w:val="008341FF"/>
    <w:rsid w:val="00892D4D"/>
    <w:rsid w:val="008E1E8C"/>
    <w:rsid w:val="008E4386"/>
    <w:rsid w:val="008E591B"/>
    <w:rsid w:val="008E6FDF"/>
    <w:rsid w:val="00915BFE"/>
    <w:rsid w:val="009333B8"/>
    <w:rsid w:val="00950B9C"/>
    <w:rsid w:val="00975A8D"/>
    <w:rsid w:val="009B02C9"/>
    <w:rsid w:val="00A009C4"/>
    <w:rsid w:val="00A265C1"/>
    <w:rsid w:val="00A52149"/>
    <w:rsid w:val="00A53BDA"/>
    <w:rsid w:val="00A86AF4"/>
    <w:rsid w:val="00AB09CB"/>
    <w:rsid w:val="00AB3015"/>
    <w:rsid w:val="00B00B4C"/>
    <w:rsid w:val="00B2065C"/>
    <w:rsid w:val="00B54757"/>
    <w:rsid w:val="00B856D9"/>
    <w:rsid w:val="00BC496E"/>
    <w:rsid w:val="00BD4709"/>
    <w:rsid w:val="00BF1753"/>
    <w:rsid w:val="00BF2110"/>
    <w:rsid w:val="00C06CE4"/>
    <w:rsid w:val="00C507D2"/>
    <w:rsid w:val="00C6072B"/>
    <w:rsid w:val="00CA79B6"/>
    <w:rsid w:val="00CB4FF3"/>
    <w:rsid w:val="00CC21C1"/>
    <w:rsid w:val="00CC7771"/>
    <w:rsid w:val="00D021CE"/>
    <w:rsid w:val="00D20104"/>
    <w:rsid w:val="00D51D33"/>
    <w:rsid w:val="00D6189A"/>
    <w:rsid w:val="00D66B2A"/>
    <w:rsid w:val="00DC1511"/>
    <w:rsid w:val="00E01D01"/>
    <w:rsid w:val="00E03F3B"/>
    <w:rsid w:val="00E864B8"/>
    <w:rsid w:val="00F009FD"/>
    <w:rsid w:val="00F46E03"/>
    <w:rsid w:val="00F501FC"/>
    <w:rsid w:val="00F70F4E"/>
    <w:rsid w:val="00F7173C"/>
    <w:rsid w:val="00F8012F"/>
    <w:rsid w:val="00FA663C"/>
    <w:rsid w:val="00FB59B2"/>
    <w:rsid w:val="00FB6429"/>
    <w:rsid w:val="00FC1F0D"/>
    <w:rsid w:val="00FE5171"/>
    <w:rsid w:val="00FF419E"/>
    <w:rsid w:val="01142B83"/>
    <w:rsid w:val="02EA591D"/>
    <w:rsid w:val="04EB4117"/>
    <w:rsid w:val="04F738D7"/>
    <w:rsid w:val="075045BC"/>
    <w:rsid w:val="0B337F36"/>
    <w:rsid w:val="0C051360"/>
    <w:rsid w:val="0E081B35"/>
    <w:rsid w:val="0EF34DD9"/>
    <w:rsid w:val="0F7211F1"/>
    <w:rsid w:val="0FBB0D14"/>
    <w:rsid w:val="1399227F"/>
    <w:rsid w:val="142B3C28"/>
    <w:rsid w:val="146531C8"/>
    <w:rsid w:val="14A62B04"/>
    <w:rsid w:val="15BD10B9"/>
    <w:rsid w:val="178460C5"/>
    <w:rsid w:val="1B1B0B9D"/>
    <w:rsid w:val="1FB54D36"/>
    <w:rsid w:val="1FCD5156"/>
    <w:rsid w:val="1FD6749A"/>
    <w:rsid w:val="2325066F"/>
    <w:rsid w:val="25663253"/>
    <w:rsid w:val="26697E3E"/>
    <w:rsid w:val="2828645F"/>
    <w:rsid w:val="28E30EA7"/>
    <w:rsid w:val="2D36064A"/>
    <w:rsid w:val="2FCD4C12"/>
    <w:rsid w:val="33313961"/>
    <w:rsid w:val="3395020E"/>
    <w:rsid w:val="35776A99"/>
    <w:rsid w:val="39F244AD"/>
    <w:rsid w:val="3BE1100F"/>
    <w:rsid w:val="3DD26236"/>
    <w:rsid w:val="40E45CF8"/>
    <w:rsid w:val="46841C16"/>
    <w:rsid w:val="4BF460BE"/>
    <w:rsid w:val="4ED74E63"/>
    <w:rsid w:val="4EE42422"/>
    <w:rsid w:val="51786463"/>
    <w:rsid w:val="51E75545"/>
    <w:rsid w:val="52B45091"/>
    <w:rsid w:val="55D01B92"/>
    <w:rsid w:val="56220C35"/>
    <w:rsid w:val="56F0580B"/>
    <w:rsid w:val="59544D51"/>
    <w:rsid w:val="5A5C1D56"/>
    <w:rsid w:val="5AE41ECF"/>
    <w:rsid w:val="5B3A53E6"/>
    <w:rsid w:val="5B95432D"/>
    <w:rsid w:val="5DE265F2"/>
    <w:rsid w:val="5F423699"/>
    <w:rsid w:val="63D73A50"/>
    <w:rsid w:val="64420D65"/>
    <w:rsid w:val="64EC505E"/>
    <w:rsid w:val="652B33D9"/>
    <w:rsid w:val="66881629"/>
    <w:rsid w:val="673E69F7"/>
    <w:rsid w:val="685415F9"/>
    <w:rsid w:val="69B40978"/>
    <w:rsid w:val="72C931CC"/>
    <w:rsid w:val="72EB023F"/>
    <w:rsid w:val="73EE78B9"/>
    <w:rsid w:val="748F0873"/>
    <w:rsid w:val="74C917C6"/>
    <w:rsid w:val="7624754E"/>
    <w:rsid w:val="76253EED"/>
    <w:rsid w:val="78CA561A"/>
    <w:rsid w:val="7B8B086F"/>
    <w:rsid w:val="7C59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4"/>
    <w:unhideWhenUsed/>
    <w:uiPriority w:val="99"/>
    <w:pPr>
      <w:ind w:firstLine="420" w:firstLineChars="200"/>
    </w:pPr>
  </w:style>
  <w:style w:type="paragraph" w:styleId="3">
    <w:name w:val="Body Text Indent"/>
    <w:basedOn w:val="1"/>
    <w:link w:val="13"/>
    <w:semiHidden/>
    <w:unhideWhenUsed/>
    <w:uiPriority w:val="99"/>
    <w:pPr>
      <w:spacing w:after="120"/>
      <w:ind w:left="420" w:leftChars="200"/>
    </w:pPr>
  </w:style>
  <w:style w:type="paragraph" w:styleId="4">
    <w:name w:val="Body Text"/>
    <w:basedOn w:val="1"/>
    <w:link w:val="18"/>
    <w:unhideWhenUsed/>
    <w:qFormat/>
    <w:uiPriority w:val="99"/>
    <w:pPr>
      <w:spacing w:after="120"/>
    </w:pPr>
    <w:rPr>
      <w:szCs w:val="24"/>
    </w:rPr>
  </w:style>
  <w:style w:type="paragraph" w:styleId="5">
    <w:name w:val="Plain Text"/>
    <w:basedOn w:val="1"/>
    <w:link w:val="12"/>
    <w:semiHidden/>
    <w:unhideWhenUsed/>
    <w:qFormat/>
    <w:uiPriority w:val="0"/>
    <w:rPr>
      <w:rFonts w:ascii="宋体" w:hAnsi="Courier New"/>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spacing w:before="100" w:beforeAutospacing="1" w:after="100" w:afterAutospacing="1"/>
      <w:jc w:val="left"/>
    </w:pPr>
    <w:rPr>
      <w:kern w:val="0"/>
      <w:sz w:val="24"/>
    </w:rPr>
  </w:style>
  <w:style w:type="character" w:styleId="11">
    <w:name w:val="Hyperlink"/>
    <w:basedOn w:val="10"/>
    <w:semiHidden/>
    <w:unhideWhenUsed/>
    <w:uiPriority w:val="99"/>
    <w:rPr>
      <w:color w:val="0000FF"/>
      <w:u w:val="single"/>
    </w:rPr>
  </w:style>
  <w:style w:type="character" w:customStyle="1" w:styleId="12">
    <w:name w:val="纯文本 字符"/>
    <w:basedOn w:val="10"/>
    <w:link w:val="5"/>
    <w:semiHidden/>
    <w:qFormat/>
    <w:uiPriority w:val="0"/>
    <w:rPr>
      <w:rFonts w:ascii="宋体" w:hAnsi="Courier New" w:eastAsia="宋体" w:cs="Times New Roman"/>
      <w:szCs w:val="21"/>
    </w:rPr>
  </w:style>
  <w:style w:type="character" w:customStyle="1" w:styleId="13">
    <w:name w:val="正文文本缩进 字符"/>
    <w:basedOn w:val="10"/>
    <w:link w:val="3"/>
    <w:semiHidden/>
    <w:qFormat/>
    <w:uiPriority w:val="99"/>
    <w:rPr>
      <w:rFonts w:ascii="Times New Roman" w:hAnsi="Times New Roman" w:eastAsia="宋体" w:cs="Times New Roman"/>
      <w:szCs w:val="21"/>
    </w:rPr>
  </w:style>
  <w:style w:type="character" w:customStyle="1" w:styleId="14">
    <w:name w:val="正文文本首行缩进 2 字符"/>
    <w:basedOn w:val="13"/>
    <w:link w:val="2"/>
    <w:qFormat/>
    <w:uiPriority w:val="99"/>
    <w:rPr>
      <w:rFonts w:ascii="Times New Roman" w:hAnsi="Times New Roman" w:eastAsia="宋体" w:cs="Times New Roman"/>
      <w:szCs w:val="21"/>
    </w:rPr>
  </w:style>
  <w:style w:type="character" w:customStyle="1" w:styleId="15">
    <w:name w:val="页眉 字符"/>
    <w:basedOn w:val="10"/>
    <w:link w:val="7"/>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0"/>
    <w:link w:val="4"/>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481</Words>
  <Characters>2744</Characters>
  <Lines>22</Lines>
  <Paragraphs>6</Paragraphs>
  <TotalTime>2</TotalTime>
  <ScaleCrop>false</ScaleCrop>
  <LinksUpToDate>false</LinksUpToDate>
  <CharactersWithSpaces>3219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2022-01-05T08:21:00Z</dcterms:created>
  <dc:creator>月坛街道办文人员</dc:creator>
  <cp:lastModifiedBy>ZJ</cp:lastModifiedBy>
  <cp:lastPrinted>2022-01-07T06:55:00Z</cp:lastPrinted>
  <dcterms:modified xsi:type="dcterms:W3CDTF">2023-01-10T06:34:34Z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