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exact"/>
        <w:jc w:val="center"/>
        <w:rPr>
          <w:rFonts w:ascii="方正小标宋简体" w:eastAsia="方正小标宋简体"/>
          <w:sz w:val="44"/>
          <w:szCs w:val="44"/>
        </w:rPr>
      </w:pPr>
      <w:r>
        <w:rPr>
          <w:rFonts w:hint="eastAsia" w:ascii="方正小标宋简体" w:eastAsia="方正小标宋简体"/>
          <w:sz w:val="44"/>
          <w:szCs w:val="44"/>
        </w:rPr>
        <w:t>西城区教育委员会（行政）（本级）</w:t>
      </w:r>
    </w:p>
    <w:p>
      <w:pPr>
        <w:snapToGrid w:val="0"/>
        <w:spacing w:line="680" w:lineRule="exact"/>
        <w:jc w:val="center"/>
        <w:rPr>
          <w:rFonts w:ascii="方正小标宋简体" w:eastAsia="方正小标宋简体"/>
          <w:sz w:val="44"/>
          <w:szCs w:val="44"/>
        </w:rPr>
      </w:pPr>
      <w:r>
        <w:rPr>
          <w:rFonts w:hint="eastAsia" w:ascii="方正小标宋简体" w:eastAsia="方正小标宋简体"/>
          <w:sz w:val="44"/>
          <w:szCs w:val="44"/>
          <w:lang w:eastAsia="zh-CN"/>
        </w:rPr>
        <w:t>2023</w:t>
      </w:r>
      <w:r>
        <w:rPr>
          <w:rFonts w:hint="eastAsia" w:ascii="方正小标宋简体" w:eastAsia="方正小标宋简体"/>
          <w:sz w:val="44"/>
          <w:szCs w:val="44"/>
        </w:rPr>
        <w:t>年部门预算编制说明</w:t>
      </w:r>
    </w:p>
    <w:p>
      <w:pPr>
        <w:snapToGrid w:val="0"/>
        <w:spacing w:line="680" w:lineRule="exact"/>
        <w:jc w:val="center"/>
        <w:rPr>
          <w:rFonts w:ascii="方正小标宋简体" w:eastAsia="方正小标宋简体"/>
          <w:sz w:val="44"/>
          <w:szCs w:val="44"/>
        </w:rPr>
      </w:pPr>
    </w:p>
    <w:p>
      <w:pPr>
        <w:jc w:val="center"/>
        <w:rPr>
          <w:rFonts w:ascii="仿宋_GB2312" w:eastAsia="仿宋_GB2312"/>
          <w:b/>
          <w:sz w:val="36"/>
          <w:szCs w:val="36"/>
        </w:rPr>
      </w:pPr>
    </w:p>
    <w:p>
      <w:pPr>
        <w:spacing w:line="560" w:lineRule="exact"/>
        <w:ind w:firstLine="640" w:firstLineChars="200"/>
        <w:outlineLvl w:val="0"/>
        <w:rPr>
          <w:rFonts w:ascii="黑体" w:eastAsia="黑体" w:hAnsiTheme="minorEastAsia"/>
          <w:sz w:val="32"/>
          <w:szCs w:val="32"/>
        </w:rPr>
      </w:pPr>
      <w:r>
        <w:rPr>
          <w:rFonts w:hint="eastAsia" w:ascii="黑体" w:eastAsia="黑体" w:hAnsiTheme="minorEastAsia"/>
          <w:sz w:val="32"/>
          <w:szCs w:val="32"/>
        </w:rPr>
        <w:t>一、部门情况</w:t>
      </w:r>
    </w:p>
    <w:p>
      <w:pPr>
        <w:spacing w:line="560" w:lineRule="exact"/>
        <w:ind w:firstLine="555"/>
        <w:rPr>
          <w:rFonts w:ascii="仿宋_GB2312" w:eastAsia="仿宋_GB2312"/>
          <w:sz w:val="32"/>
          <w:szCs w:val="32"/>
        </w:rPr>
      </w:pPr>
      <w:r>
        <w:rPr>
          <w:rFonts w:hint="eastAsia" w:ascii="仿宋_GB2312" w:eastAsia="仿宋_GB2312"/>
          <w:sz w:val="32"/>
          <w:szCs w:val="32"/>
        </w:rPr>
        <w:t>（一）部门机构设置、职责</w:t>
      </w:r>
    </w:p>
    <w:p>
      <w:pPr>
        <w:spacing w:line="560" w:lineRule="exact"/>
        <w:ind w:firstLine="555"/>
        <w:rPr>
          <w:rFonts w:ascii="仿宋_GB2312" w:hAnsi="仿宋_GB2312" w:eastAsia="仿宋_GB2312"/>
          <w:bCs/>
          <w:sz w:val="32"/>
          <w:szCs w:val="32"/>
        </w:rPr>
      </w:pPr>
      <w:r>
        <w:rPr>
          <w:rFonts w:hint="eastAsia" w:ascii="仿宋_GB2312" w:hAnsi="仿宋_GB2312" w:eastAsia="仿宋_GB2312"/>
          <w:bCs/>
          <w:sz w:val="32"/>
          <w:szCs w:val="32"/>
        </w:rPr>
        <w:t>北京市西城区委教育工作委员会是负责本区教育系统党的建设、思想政治工作和干部管理工作的区委派出机构；北京市西城区教育委员会是负责本区教育事业的区政府工作部门,依法对本辖区内的教育工作进行监督、检查、评估、指导的部门。</w:t>
      </w:r>
    </w:p>
    <w:p>
      <w:pPr>
        <w:spacing w:line="560" w:lineRule="exact"/>
        <w:ind w:firstLine="555"/>
        <w:rPr>
          <w:rFonts w:ascii="仿宋_GB2312" w:eastAsia="仿宋_GB2312"/>
          <w:sz w:val="32"/>
          <w:szCs w:val="32"/>
        </w:rPr>
      </w:pPr>
      <w:r>
        <w:rPr>
          <w:rFonts w:hint="eastAsia" w:ascii="仿宋_GB2312" w:eastAsia="仿宋_GB2312"/>
          <w:sz w:val="32"/>
          <w:szCs w:val="32"/>
        </w:rPr>
        <w:t>（二）人员构成情况</w:t>
      </w:r>
    </w:p>
    <w:p>
      <w:pPr>
        <w:spacing w:line="560" w:lineRule="exact"/>
        <w:ind w:firstLine="555"/>
        <w:rPr>
          <w:rFonts w:ascii="仿宋_GB2312" w:eastAsia="仿宋_GB2312"/>
          <w:sz w:val="32"/>
          <w:szCs w:val="32"/>
        </w:rPr>
      </w:pPr>
      <w:r>
        <w:rPr>
          <w:rFonts w:hint="eastAsia" w:ascii="仿宋_GB2312" w:eastAsia="仿宋_GB2312"/>
          <w:sz w:val="32"/>
          <w:szCs w:val="32"/>
        </w:rPr>
        <w:t>区委教工委和区教委行政编制140人;事业编制0人；工勤编制0名；实际</w:t>
      </w:r>
      <w:r>
        <w:rPr>
          <w:rFonts w:hint="eastAsia" w:ascii="仿宋_GB2312" w:eastAsia="仿宋_GB2312"/>
          <w:sz w:val="32"/>
          <w:szCs w:val="32"/>
          <w:lang w:val="en-US" w:eastAsia="zh-CN"/>
        </w:rPr>
        <w:t>131</w:t>
      </w:r>
      <w:r>
        <w:rPr>
          <w:rFonts w:hint="eastAsia" w:ascii="仿宋_GB2312" w:eastAsia="仿宋_GB2312"/>
          <w:sz w:val="32"/>
          <w:szCs w:val="32"/>
        </w:rPr>
        <w:t>人；长期聘用临时工0人。</w:t>
      </w:r>
    </w:p>
    <w:p>
      <w:pPr>
        <w:spacing w:line="560" w:lineRule="exact"/>
        <w:ind w:firstLine="555"/>
        <w:rPr>
          <w:rFonts w:ascii="仿宋_GB2312" w:eastAsia="仿宋_GB2312"/>
          <w:sz w:val="32"/>
          <w:szCs w:val="32"/>
        </w:rPr>
      </w:pPr>
      <w:r>
        <w:rPr>
          <w:rFonts w:hint="eastAsia" w:ascii="仿宋_GB2312" w:eastAsia="仿宋_GB2312"/>
          <w:sz w:val="32"/>
          <w:szCs w:val="32"/>
        </w:rPr>
        <w:t>离退休人员31</w:t>
      </w:r>
      <w:r>
        <w:rPr>
          <w:rFonts w:hint="eastAsia" w:ascii="仿宋_GB2312" w:eastAsia="仿宋_GB2312"/>
          <w:sz w:val="32"/>
          <w:szCs w:val="32"/>
          <w:lang w:val="en-US" w:eastAsia="zh-CN"/>
        </w:rPr>
        <w:t>0</w:t>
      </w:r>
      <w:r>
        <w:rPr>
          <w:rFonts w:hint="eastAsia" w:ascii="仿宋_GB2312" w:eastAsia="仿宋_GB2312"/>
          <w:sz w:val="32"/>
          <w:szCs w:val="32"/>
        </w:rPr>
        <w:t>人，其中：离休</w:t>
      </w:r>
      <w:r>
        <w:rPr>
          <w:rFonts w:hint="eastAsia" w:ascii="仿宋_GB2312" w:eastAsia="仿宋_GB2312"/>
          <w:sz w:val="32"/>
          <w:szCs w:val="32"/>
          <w:lang w:val="en-US" w:eastAsia="zh-CN"/>
        </w:rPr>
        <w:t>11</w:t>
      </w:r>
      <w:r>
        <w:rPr>
          <w:rFonts w:hint="eastAsia" w:ascii="仿宋_GB2312" w:eastAsia="仿宋_GB2312"/>
          <w:sz w:val="32"/>
          <w:szCs w:val="32"/>
        </w:rPr>
        <w:t>人，退休</w:t>
      </w:r>
      <w:r>
        <w:rPr>
          <w:rFonts w:hint="eastAsia" w:ascii="仿宋_GB2312" w:eastAsia="仿宋_GB2312"/>
          <w:sz w:val="32"/>
          <w:szCs w:val="32"/>
          <w:lang w:val="en-US" w:eastAsia="zh-CN"/>
        </w:rPr>
        <w:t>299</w:t>
      </w:r>
      <w:r>
        <w:rPr>
          <w:rFonts w:hint="eastAsia" w:ascii="仿宋_GB2312" w:eastAsia="仿宋_GB2312"/>
          <w:sz w:val="32"/>
          <w:szCs w:val="32"/>
        </w:rPr>
        <w:t>人。</w:t>
      </w:r>
    </w:p>
    <w:p>
      <w:pPr>
        <w:spacing w:line="560" w:lineRule="exact"/>
        <w:ind w:firstLine="555"/>
        <w:outlineLvl w:val="0"/>
        <w:rPr>
          <w:rFonts w:ascii="黑体" w:eastAsia="黑体"/>
          <w:sz w:val="32"/>
          <w:szCs w:val="32"/>
        </w:rPr>
      </w:pPr>
      <w:r>
        <w:rPr>
          <w:rFonts w:hint="eastAsia" w:ascii="黑体" w:eastAsia="黑体"/>
          <w:sz w:val="32"/>
          <w:szCs w:val="32"/>
        </w:rPr>
        <w:t>二、收入支出预算情况说明</w:t>
      </w:r>
    </w:p>
    <w:p>
      <w:pPr>
        <w:spacing w:line="560" w:lineRule="exact"/>
        <w:ind w:firstLine="555"/>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2023</w:t>
      </w:r>
      <w:r>
        <w:rPr>
          <w:rFonts w:hint="eastAsia" w:ascii="仿宋_GB2312" w:eastAsia="仿宋_GB2312"/>
          <w:sz w:val="32"/>
          <w:szCs w:val="32"/>
        </w:rPr>
        <w:t>年收入预算情况说明</w:t>
      </w:r>
    </w:p>
    <w:p>
      <w:pPr>
        <w:spacing w:line="560" w:lineRule="exact"/>
        <w:ind w:firstLine="555"/>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年收入预算5764.07</w:t>
      </w:r>
      <w:r>
        <w:rPr>
          <w:rFonts w:hint="eastAsia" w:ascii="仿宋_GB2312" w:hAnsi="Batang" w:eastAsia="仿宋_GB2312"/>
          <w:sz w:val="32"/>
          <w:szCs w:val="32"/>
        </w:rPr>
        <w:t>万元</w:t>
      </w:r>
      <w:r>
        <w:rPr>
          <w:rFonts w:hint="eastAsia" w:ascii="仿宋_GB2312" w:eastAsia="仿宋_GB2312"/>
          <w:sz w:val="32"/>
          <w:szCs w:val="32"/>
        </w:rPr>
        <w:t>，其中：预算内资金安排</w:t>
      </w:r>
      <w:r>
        <w:rPr>
          <w:rFonts w:hint="eastAsia" w:ascii="仿宋_GB2312" w:hAnsi="Batang" w:eastAsia="仿宋_GB2312"/>
          <w:sz w:val="32"/>
          <w:szCs w:val="32"/>
        </w:rPr>
        <w:t>5764.07万元</w:t>
      </w:r>
      <w:r>
        <w:rPr>
          <w:rFonts w:hint="eastAsia" w:ascii="仿宋_GB2312" w:eastAsia="仿宋_GB2312"/>
          <w:sz w:val="32"/>
          <w:szCs w:val="32"/>
        </w:rPr>
        <w:t>，财政专户资金安排0元，其他资金安排0元。</w:t>
      </w:r>
    </w:p>
    <w:p>
      <w:pPr>
        <w:spacing w:line="560" w:lineRule="exact"/>
        <w:ind w:firstLine="55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2023</w:t>
      </w:r>
      <w:r>
        <w:rPr>
          <w:rFonts w:hint="eastAsia" w:ascii="仿宋_GB2312" w:eastAsia="仿宋_GB2312"/>
          <w:sz w:val="32"/>
          <w:szCs w:val="32"/>
        </w:rPr>
        <w:t>年支出预算情况说明</w:t>
      </w:r>
    </w:p>
    <w:p>
      <w:pPr>
        <w:spacing w:line="560" w:lineRule="exact"/>
        <w:ind w:firstLine="555"/>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年支出预算按用途划分：</w:t>
      </w:r>
    </w:p>
    <w:p>
      <w:pPr>
        <w:spacing w:line="560" w:lineRule="exact"/>
        <w:ind w:firstLine="555"/>
        <w:rPr>
          <w:rFonts w:ascii="仿宋_GB2312" w:eastAsia="仿宋_GB2312"/>
          <w:sz w:val="32"/>
          <w:szCs w:val="32"/>
        </w:rPr>
      </w:pPr>
      <w:r>
        <w:rPr>
          <w:rFonts w:hint="eastAsia" w:ascii="仿宋_GB2312" w:eastAsia="仿宋_GB2312"/>
          <w:sz w:val="32"/>
          <w:szCs w:val="32"/>
        </w:rPr>
        <w:t>1.基本支出预算</w:t>
      </w:r>
      <w:r>
        <w:rPr>
          <w:rFonts w:hint="eastAsia" w:ascii="仿宋_GB2312" w:eastAsia="仿宋_GB2312"/>
          <w:sz w:val="32"/>
          <w:szCs w:val="32"/>
          <w:lang w:val="en-US" w:eastAsia="zh-CN"/>
        </w:rPr>
        <w:t>5270.78</w:t>
      </w:r>
      <w:r>
        <w:rPr>
          <w:rFonts w:hint="eastAsia" w:ascii="仿宋_GB2312" w:eastAsia="仿宋_GB2312"/>
          <w:sz w:val="32"/>
          <w:szCs w:val="32"/>
        </w:rPr>
        <w:t>万元，其中公用支出</w:t>
      </w:r>
      <w:r>
        <w:rPr>
          <w:rFonts w:hint="eastAsia" w:ascii="仿宋_GB2312" w:eastAsia="仿宋_GB2312"/>
          <w:sz w:val="32"/>
          <w:szCs w:val="32"/>
          <w:lang w:val="en-US" w:eastAsia="zh-CN"/>
        </w:rPr>
        <w:t>490.03</w:t>
      </w:r>
      <w:r>
        <w:rPr>
          <w:rFonts w:hint="eastAsia" w:ascii="仿宋_GB2312" w:eastAsia="仿宋_GB2312"/>
          <w:sz w:val="32"/>
          <w:szCs w:val="32"/>
        </w:rPr>
        <w:t>万元。基本支出主要是预算单位人员经费、机关正常运转经费和医疗保障经费</w:t>
      </w:r>
      <w:r>
        <w:rPr>
          <w:rFonts w:hint="eastAsia" w:ascii="仿宋_GB2312" w:eastAsia="仿宋_GB2312"/>
          <w:sz w:val="32"/>
          <w:szCs w:val="32"/>
          <w:lang w:eastAsia="zh-CN"/>
        </w:rPr>
        <w:t>，机关事业单位基本养老保险缴费，住房公积金</w:t>
      </w:r>
      <w:r>
        <w:rPr>
          <w:rFonts w:hint="eastAsia" w:ascii="仿宋_GB2312" w:eastAsia="仿宋_GB2312"/>
          <w:sz w:val="32"/>
          <w:szCs w:val="32"/>
        </w:rPr>
        <w:t>等支出。</w:t>
      </w:r>
    </w:p>
    <w:p>
      <w:pPr>
        <w:spacing w:line="560" w:lineRule="exact"/>
        <w:ind w:firstLine="555"/>
        <w:rPr>
          <w:rFonts w:ascii="仿宋_GB2312" w:eastAsia="仿宋_GB2312"/>
          <w:sz w:val="32"/>
          <w:szCs w:val="32"/>
        </w:rPr>
      </w:pPr>
      <w:r>
        <w:rPr>
          <w:rFonts w:hint="eastAsia" w:ascii="仿宋_GB2312" w:eastAsia="仿宋_GB2312"/>
          <w:sz w:val="32"/>
          <w:szCs w:val="32"/>
        </w:rPr>
        <w:t>2.项目支出预算</w:t>
      </w:r>
      <w:r>
        <w:rPr>
          <w:rFonts w:hint="eastAsia" w:ascii="仿宋_GB2312" w:eastAsia="仿宋_GB2312"/>
          <w:sz w:val="32"/>
          <w:szCs w:val="32"/>
          <w:lang w:val="en-US" w:eastAsia="zh-CN"/>
        </w:rPr>
        <w:t>493.29</w:t>
      </w:r>
      <w:r>
        <w:rPr>
          <w:rFonts w:hint="eastAsia" w:ascii="仿宋_GB2312" w:eastAsia="仿宋_GB2312"/>
          <w:sz w:val="32"/>
          <w:szCs w:val="32"/>
        </w:rPr>
        <w:t>万元。主要项目包括①物业管理费，②运维补助经费，③教委运行管理经费</w:t>
      </w:r>
      <w:r>
        <w:rPr>
          <w:rFonts w:hint="eastAsia" w:ascii="仿宋_GB2312" w:eastAsia="仿宋_GB2312"/>
          <w:sz w:val="32"/>
          <w:szCs w:val="32"/>
          <w:lang w:eastAsia="zh-CN"/>
        </w:rPr>
        <w:t>，</w:t>
      </w:r>
      <w:r>
        <w:rPr>
          <w:rFonts w:hint="eastAsia" w:ascii="仿宋_GB2312" w:eastAsia="仿宋_GB2312"/>
          <w:sz w:val="32"/>
          <w:szCs w:val="32"/>
        </w:rPr>
        <w:t>④教委机关离退休支部补贴</w:t>
      </w:r>
      <w:r>
        <w:rPr>
          <w:rFonts w:hint="eastAsia" w:ascii="仿宋_GB2312" w:eastAsia="仿宋_GB2312"/>
          <w:sz w:val="32"/>
          <w:szCs w:val="32"/>
          <w:lang w:eastAsia="zh-CN"/>
        </w:rPr>
        <w:t>，</w:t>
      </w:r>
      <w:r>
        <w:rPr>
          <w:rFonts w:hint="eastAsia" w:ascii="仿宋_GB2312" w:eastAsia="仿宋_GB2312"/>
          <w:sz w:val="32"/>
          <w:szCs w:val="32"/>
        </w:rPr>
        <w:t>⑤预留机动经费。</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2023</w:t>
      </w:r>
      <w:r>
        <w:rPr>
          <w:rFonts w:hint="eastAsia" w:ascii="仿宋_GB2312" w:eastAsia="仿宋_GB2312"/>
          <w:sz w:val="32"/>
          <w:szCs w:val="32"/>
        </w:rPr>
        <w:t>年预算收支增减变化情况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2023</w:t>
      </w:r>
      <w:r>
        <w:rPr>
          <w:rFonts w:hint="eastAsia" w:ascii="仿宋_GB2312" w:eastAsia="仿宋_GB2312"/>
          <w:sz w:val="32"/>
          <w:szCs w:val="32"/>
        </w:rPr>
        <w:t>年部门收入总预算5764.07万元，比202</w:t>
      </w:r>
      <w:r>
        <w:rPr>
          <w:rFonts w:hint="eastAsia" w:ascii="仿宋_GB2312" w:eastAsia="仿宋_GB2312"/>
          <w:sz w:val="32"/>
          <w:szCs w:val="32"/>
          <w:lang w:val="en-US" w:eastAsia="zh-CN"/>
        </w:rPr>
        <w:t>2</w:t>
      </w:r>
      <w:r>
        <w:rPr>
          <w:rFonts w:hint="eastAsia" w:ascii="仿宋_GB2312" w:eastAsia="仿宋_GB2312"/>
          <w:sz w:val="32"/>
          <w:szCs w:val="32"/>
        </w:rPr>
        <w:t>年年初预算</w:t>
      </w:r>
      <w:r>
        <w:rPr>
          <w:rFonts w:ascii="仿宋_GB2312" w:eastAsia="仿宋_GB2312"/>
          <w:sz w:val="32"/>
          <w:szCs w:val="32"/>
        </w:rPr>
        <w:t>11680.21</w:t>
      </w:r>
      <w:r>
        <w:rPr>
          <w:rFonts w:hint="eastAsia" w:ascii="仿宋_GB2312" w:eastAsia="仿宋_GB2312"/>
          <w:sz w:val="32"/>
          <w:szCs w:val="32"/>
        </w:rPr>
        <w:t>万元</w:t>
      </w:r>
      <w:r>
        <w:rPr>
          <w:rFonts w:hint="eastAsia" w:ascii="仿宋_GB2312" w:eastAsia="仿宋_GB2312"/>
          <w:sz w:val="32"/>
          <w:szCs w:val="32"/>
          <w:lang w:val="en-US" w:eastAsia="zh-CN"/>
        </w:rPr>
        <w:t>减少5916.14</w:t>
      </w:r>
      <w:r>
        <w:rPr>
          <w:rFonts w:hint="eastAsia" w:ascii="仿宋_GB2312" w:eastAsia="仿宋_GB2312"/>
          <w:sz w:val="32"/>
          <w:szCs w:val="32"/>
        </w:rPr>
        <w:t>万元，</w:t>
      </w:r>
      <w:r>
        <w:rPr>
          <w:rFonts w:hint="eastAsia" w:ascii="仿宋_GB2312" w:eastAsia="仿宋_GB2312"/>
          <w:sz w:val="32"/>
          <w:szCs w:val="32"/>
          <w:lang w:val="en-US" w:eastAsia="zh-CN"/>
        </w:rPr>
        <w:t>减少102.64</w:t>
      </w:r>
      <w:r>
        <w:rPr>
          <w:rFonts w:hint="eastAsia" w:ascii="仿宋_GB2312" w:eastAsia="仿宋_GB2312"/>
          <w:sz w:val="32"/>
          <w:szCs w:val="32"/>
        </w:rPr>
        <w:t>%，主要原因为本年</w:t>
      </w:r>
      <w:r>
        <w:rPr>
          <w:rFonts w:hint="eastAsia" w:ascii="仿宋_GB2312" w:eastAsia="仿宋_GB2312"/>
          <w:sz w:val="32"/>
          <w:szCs w:val="32"/>
          <w:lang w:val="en-US" w:eastAsia="zh-CN"/>
        </w:rPr>
        <w:t>无</w:t>
      </w:r>
      <w:r>
        <w:rPr>
          <w:rFonts w:hint="eastAsia" w:ascii="仿宋_GB2312" w:eastAsia="仿宋_GB2312"/>
          <w:sz w:val="32"/>
          <w:szCs w:val="32"/>
        </w:rPr>
        <w:t>市级提前下达专项转移支付项目资金安排</w:t>
      </w:r>
      <w:r>
        <w:rPr>
          <w:rFonts w:ascii="仿宋_GB2312" w:eastAsia="仿宋_GB2312"/>
          <w:sz w:val="32"/>
          <w:szCs w:val="32"/>
        </w:rPr>
        <w:t>5119.80</w:t>
      </w:r>
      <w:r>
        <w:rPr>
          <w:rFonts w:hint="eastAsia" w:ascii="仿宋_GB2312" w:eastAsia="仿宋_GB2312"/>
          <w:sz w:val="32"/>
          <w:szCs w:val="32"/>
        </w:rPr>
        <w:t xml:space="preserve">元。          </w:t>
      </w:r>
      <w:r>
        <w:rPr>
          <w:rFonts w:hint="eastAsia" w:ascii="仿宋_GB2312" w:eastAsia="仿宋_GB2312"/>
          <w:sz w:val="32"/>
          <w:szCs w:val="32"/>
          <w:lang w:eastAsia="zh-CN"/>
        </w:rPr>
        <w:t>2023</w:t>
      </w:r>
      <w:r>
        <w:rPr>
          <w:rFonts w:hint="eastAsia" w:ascii="仿宋_GB2312" w:eastAsia="仿宋_GB2312"/>
          <w:sz w:val="32"/>
          <w:szCs w:val="32"/>
        </w:rPr>
        <w:t>年部门支出总预算5764.07万元，比202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年初</w:t>
      </w:r>
      <w:bookmarkStart w:id="0" w:name="_GoBack"/>
      <w:bookmarkEnd w:id="0"/>
      <w:r>
        <w:rPr>
          <w:rFonts w:hint="eastAsia" w:ascii="仿宋_GB2312" w:eastAsia="仿宋_GB2312"/>
          <w:sz w:val="32"/>
          <w:szCs w:val="32"/>
          <w:lang w:val="en-US" w:eastAsia="zh-CN"/>
        </w:rPr>
        <w:t>预</w:t>
      </w:r>
      <w:r>
        <w:rPr>
          <w:rFonts w:hint="eastAsia" w:ascii="仿宋_GB2312" w:eastAsia="仿宋_GB2312"/>
          <w:sz w:val="32"/>
          <w:szCs w:val="32"/>
        </w:rPr>
        <w:t>算</w:t>
      </w:r>
      <w:r>
        <w:rPr>
          <w:rFonts w:ascii="仿宋_GB2312" w:eastAsia="仿宋_GB2312"/>
          <w:sz w:val="32"/>
          <w:szCs w:val="32"/>
        </w:rPr>
        <w:t>11680.216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减少5916.14</w:t>
      </w:r>
      <w:r>
        <w:rPr>
          <w:rFonts w:hint="eastAsia" w:ascii="仿宋_GB2312" w:eastAsia="仿宋_GB2312"/>
          <w:sz w:val="32"/>
          <w:szCs w:val="32"/>
        </w:rPr>
        <w:t>万元，</w:t>
      </w:r>
      <w:r>
        <w:rPr>
          <w:rFonts w:hint="eastAsia" w:ascii="仿宋_GB2312" w:eastAsia="仿宋_GB2312"/>
          <w:sz w:val="32"/>
          <w:szCs w:val="32"/>
          <w:lang w:val="en-US" w:eastAsia="zh-CN"/>
        </w:rPr>
        <w:t>减少102.64</w:t>
      </w:r>
      <w:r>
        <w:rPr>
          <w:rFonts w:hint="eastAsia"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三、部门“三公”经费预算安排情况说明</w:t>
      </w:r>
    </w:p>
    <w:p>
      <w:pPr>
        <w:spacing w:line="560" w:lineRule="exact"/>
        <w:ind w:firstLine="555"/>
        <w:rPr>
          <w:rFonts w:ascii="仿宋_GB2312" w:eastAsia="仿宋_GB2312"/>
          <w:sz w:val="32"/>
          <w:szCs w:val="32"/>
        </w:rPr>
      </w:pPr>
      <w:r>
        <w:rPr>
          <w:rFonts w:hint="eastAsia" w:ascii="仿宋_GB2312" w:eastAsia="仿宋_GB2312"/>
          <w:sz w:val="32"/>
          <w:szCs w:val="32"/>
        </w:rPr>
        <w:t>（一）“三公”经费的单位范围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北京市西城区教育委员会（行政）部门预算中，因公出国（境）费、公务接待费、公务用车购置及运行维护费的支出单位包括区教委行政机关及0个所属单位。</w:t>
      </w:r>
    </w:p>
    <w:p>
      <w:pPr>
        <w:spacing w:line="560" w:lineRule="exact"/>
        <w:ind w:firstLine="555"/>
        <w:rPr>
          <w:rFonts w:ascii="仿宋_GB2312" w:eastAsia="仿宋_GB2312"/>
          <w:sz w:val="32"/>
          <w:szCs w:val="32"/>
        </w:rPr>
      </w:pPr>
      <w:r>
        <w:rPr>
          <w:rFonts w:hint="eastAsia" w:ascii="仿宋_GB2312" w:eastAsia="仿宋_GB2312"/>
          <w:sz w:val="32"/>
          <w:szCs w:val="32"/>
        </w:rPr>
        <w:t>（二）“三公”经费预算安排情况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年“三公”经费财政拨款预算安排共计0元，与202</w:t>
      </w:r>
      <w:r>
        <w:rPr>
          <w:rFonts w:hint="eastAsia" w:ascii="仿宋_GB2312" w:eastAsia="仿宋_GB2312"/>
          <w:sz w:val="32"/>
          <w:szCs w:val="32"/>
          <w:lang w:val="en-US" w:eastAsia="zh-CN"/>
        </w:rPr>
        <w:t>2</w:t>
      </w:r>
      <w:r>
        <w:rPr>
          <w:rFonts w:hint="eastAsia" w:ascii="仿宋_GB2312" w:eastAsia="仿宋_GB2312"/>
          <w:sz w:val="32"/>
          <w:szCs w:val="32"/>
        </w:rPr>
        <w:t>年年初预算数</w:t>
      </w:r>
      <w:r>
        <w:rPr>
          <w:rFonts w:hint="eastAsia" w:ascii="仿宋_GB2312" w:eastAsia="仿宋_GB2312"/>
          <w:sz w:val="32"/>
          <w:szCs w:val="32"/>
          <w:lang w:val="en-US" w:eastAsia="zh-CN"/>
        </w:rPr>
        <w:t>持平</w:t>
      </w:r>
      <w:r>
        <w:rPr>
          <w:rFonts w:hint="eastAsia" w:ascii="仿宋_GB2312" w:eastAsia="仿宋_GB2312"/>
          <w:sz w:val="32"/>
          <w:szCs w:val="32"/>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908"/>
        <w:gridCol w:w="908"/>
        <w:gridCol w:w="914"/>
        <w:gridCol w:w="909"/>
        <w:gridCol w:w="909"/>
        <w:gridCol w:w="909"/>
        <w:gridCol w:w="909"/>
        <w:gridCol w:w="909"/>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00" w:type="pct"/>
            <w:gridSpan w:val="10"/>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财政拨款（含一般公共预算和政府性基金预算）“三公”经费支出表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13" w:type="pct"/>
            <w:gridSpan w:val="4"/>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部门/单位：北京市西城区教育委员会（</w:t>
            </w:r>
            <w:r>
              <w:rPr>
                <w:rFonts w:hint="eastAsia" w:ascii="宋体" w:hAnsi="宋体" w:cs="宋体"/>
                <w:i w:val="0"/>
                <w:iCs w:val="0"/>
                <w:color w:val="000000"/>
                <w:kern w:val="0"/>
                <w:sz w:val="18"/>
                <w:szCs w:val="18"/>
                <w:u w:val="none"/>
                <w:lang w:val="en-US" w:eastAsia="zh-CN" w:bidi="ar"/>
              </w:rPr>
              <w:t>行政</w:t>
            </w:r>
            <w:r>
              <w:rPr>
                <w:rFonts w:hint="eastAsia" w:ascii="宋体" w:hAnsi="宋体" w:eastAsia="宋体" w:cs="宋体"/>
                <w:i w:val="0"/>
                <w:iCs w:val="0"/>
                <w:color w:val="000000"/>
                <w:kern w:val="0"/>
                <w:sz w:val="18"/>
                <w:szCs w:val="18"/>
                <w:u w:val="none"/>
                <w:lang w:val="en-US" w:eastAsia="zh-CN" w:bidi="ar"/>
              </w:rPr>
              <w:t>）</w:t>
            </w:r>
          </w:p>
        </w:tc>
        <w:tc>
          <w:tcPr>
            <w:tcW w:w="51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7" w:type="pct"/>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371"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w:t>
            </w:r>
          </w:p>
        </w:tc>
        <w:tc>
          <w:tcPr>
            <w:tcW w:w="513"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“三公”经费财政拨款预算总额</w:t>
            </w:r>
          </w:p>
        </w:tc>
        <w:tc>
          <w:tcPr>
            <w:tcW w:w="513"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因公出国（境）费用</w:t>
            </w:r>
          </w:p>
        </w:tc>
        <w:tc>
          <w:tcPr>
            <w:tcW w:w="514"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公务接待费</w:t>
            </w:r>
          </w:p>
        </w:tc>
        <w:tc>
          <w:tcPr>
            <w:tcW w:w="3086" w:type="pct"/>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371"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公务用车购置费</w:t>
            </w:r>
          </w:p>
        </w:tc>
        <w:tc>
          <w:tcPr>
            <w:tcW w:w="2572" w:type="pct"/>
            <w:gridSpan w:val="5"/>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371"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4"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51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1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公务用车加油</w:t>
            </w:r>
          </w:p>
        </w:tc>
        <w:tc>
          <w:tcPr>
            <w:tcW w:w="51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公务用车维修</w:t>
            </w:r>
          </w:p>
        </w:tc>
        <w:tc>
          <w:tcPr>
            <w:tcW w:w="51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公务用车保险</w:t>
            </w:r>
          </w:p>
        </w:tc>
        <w:tc>
          <w:tcPr>
            <w:tcW w:w="51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514"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513"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517"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r>
    </w:tbl>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1.因公出国（境）费用。西城区因公出国（境）费年初预算不安排到部门，预算执行过程中，根据外事部门审批情况办理经费追加手续。</w:t>
      </w:r>
      <w:r>
        <w:rPr>
          <w:rFonts w:hint="eastAsia" w:ascii="仿宋_GB2312" w:eastAsia="仿宋_GB2312"/>
          <w:sz w:val="32"/>
          <w:szCs w:val="32"/>
          <w:lang w:eastAsia="zh-CN"/>
        </w:rPr>
        <w:t>2023</w:t>
      </w:r>
      <w:r>
        <w:rPr>
          <w:rFonts w:hint="eastAsia" w:ascii="仿宋_GB2312" w:eastAsia="仿宋_GB2312"/>
          <w:sz w:val="32"/>
          <w:szCs w:val="32"/>
        </w:rPr>
        <w:t>年预算安排资金0元，与202</w:t>
      </w:r>
      <w:r>
        <w:rPr>
          <w:rFonts w:hint="eastAsia" w:ascii="仿宋_GB2312" w:eastAsia="仿宋_GB2312"/>
          <w:sz w:val="32"/>
          <w:szCs w:val="32"/>
          <w:lang w:val="en-US" w:eastAsia="zh-CN"/>
        </w:rPr>
        <w:t>2</w:t>
      </w:r>
      <w:r>
        <w:rPr>
          <w:rFonts w:hint="eastAsia" w:ascii="仿宋_GB2312" w:eastAsia="仿宋_GB2312"/>
          <w:sz w:val="32"/>
          <w:szCs w:val="32"/>
        </w:rPr>
        <w:t>年年初预算数持平。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eastAsia="zh-CN"/>
        </w:rPr>
        <w:t>2023</w:t>
      </w:r>
      <w:r>
        <w:rPr>
          <w:rFonts w:hint="eastAsia" w:ascii="仿宋_GB2312" w:eastAsia="仿宋_GB2312"/>
          <w:sz w:val="32"/>
          <w:szCs w:val="32"/>
        </w:rPr>
        <w:t>年预算数0元，与202</w:t>
      </w:r>
      <w:r>
        <w:rPr>
          <w:rFonts w:hint="eastAsia" w:ascii="仿宋_GB2312" w:eastAsia="仿宋_GB2312"/>
          <w:sz w:val="32"/>
          <w:szCs w:val="32"/>
          <w:lang w:val="en-US" w:eastAsia="zh-CN"/>
        </w:rPr>
        <w:t>2</w:t>
      </w:r>
      <w:r>
        <w:rPr>
          <w:rFonts w:hint="eastAsia" w:ascii="仿宋_GB2312" w:eastAsia="仿宋_GB2312"/>
          <w:sz w:val="32"/>
          <w:szCs w:val="32"/>
        </w:rPr>
        <w:t>年年初预算数</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3.公务用车购置和运行维护费。</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年公务用车购置和运行维护费预算数0元，与202</w:t>
      </w:r>
      <w:r>
        <w:rPr>
          <w:rFonts w:hint="eastAsia" w:ascii="仿宋_GB2312" w:eastAsia="仿宋_GB2312"/>
          <w:sz w:val="32"/>
          <w:szCs w:val="32"/>
          <w:lang w:val="en-US" w:eastAsia="zh-CN"/>
        </w:rPr>
        <w:t>2</w:t>
      </w:r>
      <w:r>
        <w:rPr>
          <w:rFonts w:hint="eastAsia" w:ascii="仿宋_GB2312" w:eastAsia="仿宋_GB2312"/>
          <w:sz w:val="32"/>
          <w:szCs w:val="32"/>
        </w:rPr>
        <w:t>年年初预算数持平。</w:t>
      </w:r>
    </w:p>
    <w:p>
      <w:pPr>
        <w:spacing w:line="560" w:lineRule="exact"/>
        <w:ind w:firstLine="555"/>
        <w:outlineLvl w:val="0"/>
        <w:rPr>
          <w:rFonts w:ascii="黑体" w:eastAsia="黑体"/>
          <w:sz w:val="32"/>
          <w:szCs w:val="32"/>
        </w:rPr>
      </w:pPr>
      <w:r>
        <w:rPr>
          <w:rFonts w:hint="eastAsia" w:ascii="黑体" w:eastAsia="黑体"/>
          <w:sz w:val="32"/>
          <w:szCs w:val="32"/>
        </w:rPr>
        <w:t>四、其他情况说明</w:t>
      </w:r>
    </w:p>
    <w:p>
      <w:pPr>
        <w:spacing w:line="560" w:lineRule="exact"/>
        <w:ind w:firstLine="555"/>
        <w:rPr>
          <w:rFonts w:ascii="仿宋_GB2312" w:eastAsia="仿宋_GB2312"/>
          <w:sz w:val="32"/>
          <w:szCs w:val="32"/>
        </w:rPr>
      </w:pPr>
      <w:r>
        <w:rPr>
          <w:rFonts w:hint="eastAsia" w:ascii="仿宋_GB2312" w:eastAsia="仿宋_GB2312"/>
          <w:sz w:val="32"/>
          <w:szCs w:val="32"/>
        </w:rPr>
        <w:t>（一）机关运行经费预算安排情况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年区委教工委和区教委的机关运行经费财政拨款预算</w:t>
      </w:r>
      <w:r>
        <w:rPr>
          <w:rFonts w:hint="eastAsia" w:ascii="仿宋_GB2312" w:eastAsia="仿宋_GB2312"/>
          <w:sz w:val="32"/>
          <w:szCs w:val="32"/>
          <w:lang w:val="en-US" w:eastAsia="zh-CN"/>
        </w:rPr>
        <w:t>490.03</w:t>
      </w:r>
      <w:r>
        <w:rPr>
          <w:rFonts w:hint="eastAsia" w:ascii="仿宋_GB2312" w:eastAsia="仿宋_GB2312"/>
          <w:sz w:val="32"/>
          <w:szCs w:val="32"/>
        </w:rPr>
        <w:t>万元。经费内容包括办公及印刷费、邮电费、差旅费、会议费、福利费、日常维修费、专用材料及一般设备购置费、办公用房水电费、办公用房取暖费、办公用房物业管理费、公务用车运行维护费以及其他费用。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55"/>
        <w:rPr>
          <w:rFonts w:hint="eastAsia" w:ascii="仿宋_GB2312" w:eastAsia="仿宋_GB2312"/>
          <w:sz w:val="32"/>
          <w:szCs w:val="32"/>
        </w:rPr>
      </w:pPr>
    </w:p>
    <w:p>
      <w:pPr>
        <w:spacing w:line="560" w:lineRule="exact"/>
        <w:ind w:firstLine="555"/>
        <w:rPr>
          <w:rFonts w:ascii="仿宋_GB2312" w:eastAsia="仿宋_GB2312"/>
          <w:sz w:val="32"/>
          <w:szCs w:val="32"/>
        </w:rPr>
      </w:pPr>
      <w:r>
        <w:rPr>
          <w:rFonts w:hint="eastAsia" w:ascii="仿宋_GB2312" w:eastAsia="仿宋_GB2312"/>
          <w:sz w:val="32"/>
          <w:szCs w:val="32"/>
        </w:rPr>
        <w:t>（二）政府采购情况说明</w:t>
      </w:r>
    </w:p>
    <w:p>
      <w:pPr>
        <w:spacing w:line="560" w:lineRule="exact"/>
        <w:ind w:firstLine="555"/>
        <w:rPr>
          <w:rFonts w:hint="eastAsia"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年涉及政府采购项目0个。</w:t>
      </w:r>
    </w:p>
    <w:p>
      <w:pPr>
        <w:spacing w:line="560" w:lineRule="exact"/>
        <w:ind w:firstLine="555"/>
        <w:rPr>
          <w:rFonts w:hint="eastAsia" w:ascii="仿宋_GB2312" w:eastAsia="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8"/>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00"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37" w:type="pct"/>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部门/单位：北京市西城区教育委员会（</w:t>
            </w:r>
            <w:r>
              <w:rPr>
                <w:rFonts w:hint="eastAsia" w:ascii="宋体" w:hAnsi="宋体" w:cs="宋体"/>
                <w:i w:val="0"/>
                <w:iCs w:val="0"/>
                <w:color w:val="000000"/>
                <w:kern w:val="0"/>
                <w:sz w:val="18"/>
                <w:szCs w:val="18"/>
                <w:u w:val="none"/>
                <w:lang w:val="en-US" w:eastAsia="zh-CN" w:bidi="ar"/>
              </w:rPr>
              <w:t>行政</w:t>
            </w:r>
            <w:r>
              <w:rPr>
                <w:rFonts w:hint="eastAsia" w:ascii="宋体" w:hAnsi="宋体" w:eastAsia="宋体" w:cs="宋体"/>
                <w:i w:val="0"/>
                <w:iCs w:val="0"/>
                <w:color w:val="000000"/>
                <w:kern w:val="0"/>
                <w:sz w:val="18"/>
                <w:szCs w:val="18"/>
                <w:u w:val="none"/>
                <w:lang w:val="en-US" w:eastAsia="zh-CN" w:bidi="ar"/>
              </w:rPr>
              <w:t>）</w:t>
            </w:r>
          </w:p>
        </w:tc>
        <w:tc>
          <w:tcPr>
            <w:tcW w:w="1562" w:type="pct"/>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343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采购类别</w:t>
            </w:r>
          </w:p>
        </w:tc>
        <w:tc>
          <w:tcPr>
            <w:tcW w:w="156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3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A-货物</w:t>
            </w:r>
          </w:p>
        </w:tc>
        <w:tc>
          <w:tcPr>
            <w:tcW w:w="1562"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3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B-工程</w:t>
            </w:r>
          </w:p>
        </w:tc>
        <w:tc>
          <w:tcPr>
            <w:tcW w:w="1562"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3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C-服务</w:t>
            </w:r>
          </w:p>
        </w:tc>
        <w:tc>
          <w:tcPr>
            <w:tcW w:w="1562"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37"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56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0</w:t>
            </w:r>
          </w:p>
        </w:tc>
      </w:tr>
    </w:tbl>
    <w:p>
      <w:pPr>
        <w:spacing w:line="560" w:lineRule="exact"/>
        <w:ind w:firstLine="555"/>
        <w:rPr>
          <w:rFonts w:hint="eastAsia" w:ascii="仿宋_GB2312" w:eastAsia="仿宋_GB2312"/>
          <w:sz w:val="32"/>
          <w:szCs w:val="32"/>
        </w:rPr>
      </w:pPr>
    </w:p>
    <w:p>
      <w:pPr>
        <w:spacing w:line="560" w:lineRule="exact"/>
        <w:ind w:firstLine="555"/>
        <w:rPr>
          <w:rFonts w:ascii="仿宋_GB2312" w:eastAsia="仿宋_GB2312"/>
          <w:sz w:val="32"/>
          <w:szCs w:val="32"/>
        </w:rPr>
      </w:pPr>
      <w:r>
        <w:rPr>
          <w:rFonts w:hint="eastAsia" w:ascii="仿宋_GB2312" w:eastAsia="仿宋_GB2312"/>
          <w:sz w:val="32"/>
          <w:szCs w:val="32"/>
        </w:rPr>
        <w:t>（三）政府购买服务情况说明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2023</w:t>
      </w:r>
      <w:r>
        <w:rPr>
          <w:rFonts w:hint="eastAsia" w:ascii="仿宋_GB2312" w:eastAsia="仿宋_GB2312"/>
          <w:sz w:val="32"/>
          <w:szCs w:val="32"/>
        </w:rPr>
        <w:t>年涉及政府购买服务项目</w:t>
      </w:r>
      <w:r>
        <w:rPr>
          <w:rFonts w:hint="eastAsia" w:ascii="仿宋_GB2312" w:eastAsia="仿宋_GB2312"/>
          <w:sz w:val="32"/>
          <w:szCs w:val="32"/>
          <w:lang w:val="en-US" w:eastAsia="zh-CN"/>
        </w:rPr>
        <w:t>0</w:t>
      </w:r>
      <w:r>
        <w:rPr>
          <w:rFonts w:hint="eastAsia" w:ascii="仿宋_GB2312" w:eastAsia="仿宋_GB2312"/>
          <w:sz w:val="32"/>
          <w:szCs w:val="32"/>
        </w:rPr>
        <w:t>个</w:t>
      </w:r>
      <w:r>
        <w:rPr>
          <w:rFonts w:hint="eastAsia" w:ascii="仿宋_GB2312" w:eastAsia="仿宋_GB2312"/>
          <w:sz w:val="32"/>
          <w:szCs w:val="32"/>
          <w:lang w:eastAsia="zh-CN"/>
        </w:rPr>
        <w: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2"/>
        <w:gridCol w:w="1091"/>
        <w:gridCol w:w="1423"/>
        <w:gridCol w:w="1740"/>
        <w:gridCol w:w="1462"/>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08"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16"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4"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2"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26"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1" w:type="pct"/>
            <w:tcBorders>
              <w:top w:val="nil"/>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00" w:type="pct"/>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24" w:type="pct"/>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部门/单位：北京市西城区教育委员会（事业）</w:t>
            </w:r>
          </w:p>
        </w:tc>
        <w:tc>
          <w:tcPr>
            <w:tcW w:w="804"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8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26"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61" w:type="pct"/>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108"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03" w:type="pct"/>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指导性目录</w:t>
            </w:r>
          </w:p>
        </w:tc>
        <w:tc>
          <w:tcPr>
            <w:tcW w:w="826"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服务领域</w:t>
            </w:r>
          </w:p>
        </w:tc>
        <w:tc>
          <w:tcPr>
            <w:tcW w:w="661" w:type="pct"/>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108"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616"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w:t>
            </w:r>
          </w:p>
        </w:tc>
        <w:tc>
          <w:tcPr>
            <w:tcW w:w="804"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p>
        </w:tc>
        <w:tc>
          <w:tcPr>
            <w:tcW w:w="98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w:t>
            </w:r>
          </w:p>
        </w:tc>
        <w:tc>
          <w:tcPr>
            <w:tcW w:w="826"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661" w:type="pct"/>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80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98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826"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661" w:type="pct"/>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08"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6"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04"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82"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26"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61" w:type="pct"/>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（四）绩效目标情况及绩效评价结果说明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已针对部门整体支出及重点项目支出建立了全程跟踪审核及绩效评价体系，重点评价分析三个方面：1.目标依据的充分性。2.目标设置的合理性。3.目标实现的保障性。同时在项目进展中实施绩效跟踪报告制度，对项目的经济效益、社会效益等实施监控管理。在项目完成后积极开展绩效评价，主要针对审核目标是否符合客观事实，项目预期产生的社会效益和效果。项目产生目标与项目效益目标的关联性、匹配性和逻辑性是否达到预期效果。是否依据预期的产量和效益、结合本身效益分析编制项目预算合理性等。</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lang w:eastAsia="zh-CN"/>
        </w:rPr>
        <w:t>2023</w:t>
      </w:r>
      <w:r>
        <w:rPr>
          <w:rFonts w:hint="eastAsia" w:ascii="仿宋_GB2312" w:eastAsia="仿宋_GB2312"/>
          <w:color w:val="000000"/>
          <w:sz w:val="32"/>
          <w:szCs w:val="32"/>
        </w:rPr>
        <w:t>年预算填报项目申报表的项目</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项，占总项目数额的</w:t>
      </w:r>
      <w:r>
        <w:rPr>
          <w:rFonts w:ascii="仿宋_GB2312" w:eastAsia="仿宋_GB2312"/>
          <w:color w:val="000000"/>
          <w:sz w:val="32"/>
          <w:szCs w:val="32"/>
        </w:rPr>
        <w:t>100%</w:t>
      </w:r>
      <w:r>
        <w:rPr>
          <w:rFonts w:hint="eastAsia" w:ascii="仿宋_GB2312" w:eastAsia="仿宋_GB2312"/>
          <w:color w:val="000000"/>
          <w:sz w:val="32"/>
          <w:szCs w:val="32"/>
        </w:rPr>
        <w:t>，100万元以上项目共计</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个，涉及金额</w:t>
      </w:r>
      <w:r>
        <w:rPr>
          <w:rFonts w:hint="eastAsia" w:ascii="仿宋_GB2312" w:eastAsia="仿宋_GB2312"/>
          <w:color w:val="000000"/>
          <w:sz w:val="32"/>
          <w:szCs w:val="32"/>
          <w:lang w:val="en-US" w:eastAsia="zh-CN"/>
        </w:rPr>
        <w:t>456.51</w:t>
      </w:r>
      <w:r>
        <w:rPr>
          <w:rFonts w:hint="eastAsia" w:ascii="仿宋_GB2312" w:eastAsia="仿宋_GB2312"/>
          <w:color w:val="000000"/>
          <w:sz w:val="32"/>
          <w:szCs w:val="32"/>
        </w:rPr>
        <w:t>万元。202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年区教委针对物业管理费开展成本绩效考评，考评结果在合理区间范围内。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（五）国有资本经营预算财政拨款情况说明</w:t>
      </w:r>
    </w:p>
    <w:p>
      <w:pPr>
        <w:spacing w:line="560" w:lineRule="exact"/>
        <w:ind w:firstLine="800" w:firstLineChars="25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年部门预算未安排国有资本经营预算。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（六）国有资产占用情况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2</w:t>
      </w:r>
      <w:r>
        <w:rPr>
          <w:rFonts w:hint="eastAsia" w:ascii="仿宋_GB2312" w:eastAsia="仿宋_GB2312"/>
          <w:sz w:val="32"/>
          <w:szCs w:val="32"/>
        </w:rPr>
        <w:t>年12月31日，本部门固定资产总额</w:t>
      </w:r>
      <w:r>
        <w:rPr>
          <w:rFonts w:hint="eastAsia" w:ascii="仿宋_GB2312" w:eastAsia="仿宋_GB2312"/>
          <w:sz w:val="32"/>
          <w:szCs w:val="32"/>
          <w:lang w:val="en-US" w:eastAsia="zh-CN"/>
        </w:rPr>
        <w:t>923.05</w:t>
      </w:r>
      <w:r>
        <w:rPr>
          <w:rFonts w:hint="eastAsia" w:ascii="仿宋_GB2312" w:eastAsia="仿宋_GB2312"/>
          <w:sz w:val="32"/>
          <w:szCs w:val="32"/>
        </w:rPr>
        <w:t>万元，其中车辆0台。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2</w:t>
      </w:r>
      <w:r>
        <w:rPr>
          <w:rFonts w:hint="eastAsia" w:ascii="仿宋_GB2312" w:eastAsia="仿宋_GB2312"/>
          <w:sz w:val="32"/>
          <w:szCs w:val="32"/>
        </w:rPr>
        <w:t>年12月31日，单位价值50万元以上的通用设备及单位价值100万元以上的专用设备数量均为0。</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年部门预算未安排车辆购置，未安排单位价值50万元以上的通用设备及单位价值100万元以上的专用设备的购置项目。</w:t>
      </w:r>
    </w:p>
    <w:p>
      <w:pPr>
        <w:spacing w:line="560" w:lineRule="exact"/>
        <w:ind w:firstLine="555"/>
        <w:outlineLvl w:val="0"/>
        <w:rPr>
          <w:rFonts w:ascii="黑体" w:eastAsia="黑体"/>
          <w:sz w:val="32"/>
          <w:szCs w:val="32"/>
        </w:rPr>
      </w:pPr>
      <w:r>
        <w:rPr>
          <w:rFonts w:hint="eastAsia" w:ascii="黑体" w:eastAsia="黑体"/>
          <w:sz w:val="32"/>
          <w:szCs w:val="32"/>
        </w:rPr>
        <w:t>五、名词解释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机关运行经费是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西城区教育委员会（行政）（本级）</w:t>
      </w:r>
    </w:p>
    <w:p>
      <w:pPr>
        <w:spacing w:beforeLines="50" w:afterLines="50" w:line="560" w:lineRule="exact"/>
        <w:ind w:right="1280"/>
        <w:jc w:val="right"/>
        <w:rPr>
          <w:rFonts w:ascii="仿宋_GB2312" w:hAnsi="宋体" w:eastAsia="仿宋_GB2312"/>
          <w:sz w:val="32"/>
          <w:szCs w:val="32"/>
        </w:rPr>
      </w:pPr>
      <w:r>
        <w:rPr>
          <w:rFonts w:hint="eastAsia" w:ascii="仿宋_GB2312" w:eastAsia="仿宋_GB2312"/>
          <w:sz w:val="32"/>
          <w:szCs w:val="32"/>
          <w:lang w:eastAsia="zh-CN"/>
        </w:rPr>
        <w:t>2023</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sectPr>
      <w:footerReference r:id="rId3" w:type="default"/>
      <w:footerReference r:id="rId4" w:type="even"/>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0YTgyMTE3ZWMxNDA5OTU5YmU3MmM4MjRmMmYyMmYifQ=="/>
    <w:docVar w:name="KSO_WPS_MARK_KEY" w:val="d5d20c05-8ffa-4097-8237-6eaae1b668fe"/>
  </w:docVars>
  <w:rsids>
    <w:rsidRoot w:val="00C665E5"/>
    <w:rsid w:val="000000B5"/>
    <w:rsid w:val="000004CF"/>
    <w:rsid w:val="0000199E"/>
    <w:rsid w:val="00014ED2"/>
    <w:rsid w:val="000200AF"/>
    <w:rsid w:val="00025E9A"/>
    <w:rsid w:val="00026824"/>
    <w:rsid w:val="00031BF1"/>
    <w:rsid w:val="0004170F"/>
    <w:rsid w:val="00042BEF"/>
    <w:rsid w:val="000506BC"/>
    <w:rsid w:val="000532C7"/>
    <w:rsid w:val="00054B6C"/>
    <w:rsid w:val="0005552F"/>
    <w:rsid w:val="00063782"/>
    <w:rsid w:val="00066469"/>
    <w:rsid w:val="000722E5"/>
    <w:rsid w:val="000729DD"/>
    <w:rsid w:val="00080CE2"/>
    <w:rsid w:val="00086725"/>
    <w:rsid w:val="00091640"/>
    <w:rsid w:val="000A09C3"/>
    <w:rsid w:val="000A11DE"/>
    <w:rsid w:val="000A1D7B"/>
    <w:rsid w:val="000A2F19"/>
    <w:rsid w:val="000A3AEF"/>
    <w:rsid w:val="000A4D75"/>
    <w:rsid w:val="000A7B8C"/>
    <w:rsid w:val="000C2562"/>
    <w:rsid w:val="000C6BCC"/>
    <w:rsid w:val="000D52AA"/>
    <w:rsid w:val="000F0BD5"/>
    <w:rsid w:val="000F77A2"/>
    <w:rsid w:val="00105691"/>
    <w:rsid w:val="00110CA3"/>
    <w:rsid w:val="00114AB0"/>
    <w:rsid w:val="0012122F"/>
    <w:rsid w:val="0012624E"/>
    <w:rsid w:val="00126F21"/>
    <w:rsid w:val="001279BF"/>
    <w:rsid w:val="00132032"/>
    <w:rsid w:val="00136F69"/>
    <w:rsid w:val="001379B2"/>
    <w:rsid w:val="001427CA"/>
    <w:rsid w:val="00151269"/>
    <w:rsid w:val="0015521B"/>
    <w:rsid w:val="001565E9"/>
    <w:rsid w:val="001571DC"/>
    <w:rsid w:val="00177A6D"/>
    <w:rsid w:val="001813C0"/>
    <w:rsid w:val="001824A9"/>
    <w:rsid w:val="00182FEA"/>
    <w:rsid w:val="0018790F"/>
    <w:rsid w:val="00190DAF"/>
    <w:rsid w:val="00194860"/>
    <w:rsid w:val="00195F1D"/>
    <w:rsid w:val="001B455F"/>
    <w:rsid w:val="001B7DED"/>
    <w:rsid w:val="001C7D01"/>
    <w:rsid w:val="001E2A61"/>
    <w:rsid w:val="001E5AB6"/>
    <w:rsid w:val="00205CAD"/>
    <w:rsid w:val="00205CF6"/>
    <w:rsid w:val="00212FC7"/>
    <w:rsid w:val="0021673F"/>
    <w:rsid w:val="00217E0A"/>
    <w:rsid w:val="0022175A"/>
    <w:rsid w:val="00223389"/>
    <w:rsid w:val="0022455D"/>
    <w:rsid w:val="00237FBC"/>
    <w:rsid w:val="00240B03"/>
    <w:rsid w:val="0024230D"/>
    <w:rsid w:val="00242492"/>
    <w:rsid w:val="00243CFC"/>
    <w:rsid w:val="00244FDF"/>
    <w:rsid w:val="0025265E"/>
    <w:rsid w:val="00263689"/>
    <w:rsid w:val="00264CCF"/>
    <w:rsid w:val="00273AA8"/>
    <w:rsid w:val="00283E83"/>
    <w:rsid w:val="0028517D"/>
    <w:rsid w:val="00293C29"/>
    <w:rsid w:val="002A1EE4"/>
    <w:rsid w:val="002A3E6A"/>
    <w:rsid w:val="002A3E79"/>
    <w:rsid w:val="002A5278"/>
    <w:rsid w:val="002A7AA6"/>
    <w:rsid w:val="002B1841"/>
    <w:rsid w:val="002B1844"/>
    <w:rsid w:val="002B324A"/>
    <w:rsid w:val="002B5DDD"/>
    <w:rsid w:val="002B60F6"/>
    <w:rsid w:val="002C241E"/>
    <w:rsid w:val="002E5A54"/>
    <w:rsid w:val="002E68B2"/>
    <w:rsid w:val="002F2963"/>
    <w:rsid w:val="002F4CC8"/>
    <w:rsid w:val="003026AC"/>
    <w:rsid w:val="0030345B"/>
    <w:rsid w:val="00305128"/>
    <w:rsid w:val="003051B5"/>
    <w:rsid w:val="003119E7"/>
    <w:rsid w:val="0032253C"/>
    <w:rsid w:val="00324BEA"/>
    <w:rsid w:val="003266D2"/>
    <w:rsid w:val="00336169"/>
    <w:rsid w:val="00337ECA"/>
    <w:rsid w:val="00341A37"/>
    <w:rsid w:val="00343E35"/>
    <w:rsid w:val="0035117C"/>
    <w:rsid w:val="0035559A"/>
    <w:rsid w:val="003613B6"/>
    <w:rsid w:val="0037006E"/>
    <w:rsid w:val="00370D47"/>
    <w:rsid w:val="003715A0"/>
    <w:rsid w:val="00372B9B"/>
    <w:rsid w:val="003733D8"/>
    <w:rsid w:val="003733E9"/>
    <w:rsid w:val="00373DCB"/>
    <w:rsid w:val="003807E5"/>
    <w:rsid w:val="00395747"/>
    <w:rsid w:val="00395815"/>
    <w:rsid w:val="00395A2F"/>
    <w:rsid w:val="003A0620"/>
    <w:rsid w:val="003A28E9"/>
    <w:rsid w:val="003A30C8"/>
    <w:rsid w:val="003B1AAB"/>
    <w:rsid w:val="003B3860"/>
    <w:rsid w:val="003B638F"/>
    <w:rsid w:val="003C1FBB"/>
    <w:rsid w:val="003C2265"/>
    <w:rsid w:val="003C4880"/>
    <w:rsid w:val="003E0F42"/>
    <w:rsid w:val="003E10E8"/>
    <w:rsid w:val="003E396F"/>
    <w:rsid w:val="003F4FF0"/>
    <w:rsid w:val="00410A03"/>
    <w:rsid w:val="0041685D"/>
    <w:rsid w:val="004203E0"/>
    <w:rsid w:val="00426CE8"/>
    <w:rsid w:val="0042746B"/>
    <w:rsid w:val="004351D8"/>
    <w:rsid w:val="004429DE"/>
    <w:rsid w:val="00450DE1"/>
    <w:rsid w:val="004518C0"/>
    <w:rsid w:val="00454E08"/>
    <w:rsid w:val="004615FD"/>
    <w:rsid w:val="00462D55"/>
    <w:rsid w:val="00465C07"/>
    <w:rsid w:val="00466E14"/>
    <w:rsid w:val="00474179"/>
    <w:rsid w:val="00475463"/>
    <w:rsid w:val="00486EA9"/>
    <w:rsid w:val="004918F1"/>
    <w:rsid w:val="004A3921"/>
    <w:rsid w:val="004B09BD"/>
    <w:rsid w:val="004C022C"/>
    <w:rsid w:val="004C0FE4"/>
    <w:rsid w:val="004C51C8"/>
    <w:rsid w:val="004D4284"/>
    <w:rsid w:val="004D49E1"/>
    <w:rsid w:val="004D74D2"/>
    <w:rsid w:val="004F0E42"/>
    <w:rsid w:val="004F3559"/>
    <w:rsid w:val="004F7552"/>
    <w:rsid w:val="004F79BA"/>
    <w:rsid w:val="005006CF"/>
    <w:rsid w:val="0050303C"/>
    <w:rsid w:val="005034F3"/>
    <w:rsid w:val="00505DF3"/>
    <w:rsid w:val="00506595"/>
    <w:rsid w:val="00510776"/>
    <w:rsid w:val="00515022"/>
    <w:rsid w:val="0051512E"/>
    <w:rsid w:val="00516DBD"/>
    <w:rsid w:val="0052194A"/>
    <w:rsid w:val="005256FB"/>
    <w:rsid w:val="00533593"/>
    <w:rsid w:val="0054596E"/>
    <w:rsid w:val="00555CD4"/>
    <w:rsid w:val="00567C60"/>
    <w:rsid w:val="00567F4C"/>
    <w:rsid w:val="00571123"/>
    <w:rsid w:val="00580A0D"/>
    <w:rsid w:val="00586742"/>
    <w:rsid w:val="00587F01"/>
    <w:rsid w:val="0059388E"/>
    <w:rsid w:val="005967BC"/>
    <w:rsid w:val="005A3157"/>
    <w:rsid w:val="005A5B9A"/>
    <w:rsid w:val="005A6D5E"/>
    <w:rsid w:val="005B1597"/>
    <w:rsid w:val="005C1FDF"/>
    <w:rsid w:val="005E0E4A"/>
    <w:rsid w:val="005E5F06"/>
    <w:rsid w:val="005F210E"/>
    <w:rsid w:val="005F5589"/>
    <w:rsid w:val="005F5EA4"/>
    <w:rsid w:val="005F74D0"/>
    <w:rsid w:val="005F7562"/>
    <w:rsid w:val="00605351"/>
    <w:rsid w:val="00605D87"/>
    <w:rsid w:val="00615D72"/>
    <w:rsid w:val="00630C66"/>
    <w:rsid w:val="00633A94"/>
    <w:rsid w:val="00634C39"/>
    <w:rsid w:val="00641BDF"/>
    <w:rsid w:val="00652691"/>
    <w:rsid w:val="00652889"/>
    <w:rsid w:val="0066014D"/>
    <w:rsid w:val="006673A0"/>
    <w:rsid w:val="00673F7C"/>
    <w:rsid w:val="00677502"/>
    <w:rsid w:val="00690752"/>
    <w:rsid w:val="00694010"/>
    <w:rsid w:val="00696965"/>
    <w:rsid w:val="006A49A2"/>
    <w:rsid w:val="006A6157"/>
    <w:rsid w:val="006B0597"/>
    <w:rsid w:val="006B0A68"/>
    <w:rsid w:val="006C0601"/>
    <w:rsid w:val="006D2759"/>
    <w:rsid w:val="006E0B10"/>
    <w:rsid w:val="006E259A"/>
    <w:rsid w:val="006E7ADF"/>
    <w:rsid w:val="006F41A0"/>
    <w:rsid w:val="00704FC0"/>
    <w:rsid w:val="00706015"/>
    <w:rsid w:val="00721B34"/>
    <w:rsid w:val="00723EF7"/>
    <w:rsid w:val="00724CBE"/>
    <w:rsid w:val="00733166"/>
    <w:rsid w:val="0073392F"/>
    <w:rsid w:val="007468DD"/>
    <w:rsid w:val="007476FB"/>
    <w:rsid w:val="00750A91"/>
    <w:rsid w:val="00756A4F"/>
    <w:rsid w:val="00756F10"/>
    <w:rsid w:val="00770BEE"/>
    <w:rsid w:val="00770FF7"/>
    <w:rsid w:val="007716A8"/>
    <w:rsid w:val="00772581"/>
    <w:rsid w:val="0077341B"/>
    <w:rsid w:val="00776DF5"/>
    <w:rsid w:val="00781FBC"/>
    <w:rsid w:val="00792A6A"/>
    <w:rsid w:val="007A20DA"/>
    <w:rsid w:val="007A3C28"/>
    <w:rsid w:val="007C016A"/>
    <w:rsid w:val="007C46B8"/>
    <w:rsid w:val="007D6305"/>
    <w:rsid w:val="007E5042"/>
    <w:rsid w:val="007F2511"/>
    <w:rsid w:val="007F25A7"/>
    <w:rsid w:val="00812CE2"/>
    <w:rsid w:val="00816D29"/>
    <w:rsid w:val="008257B8"/>
    <w:rsid w:val="008273B3"/>
    <w:rsid w:val="008363A9"/>
    <w:rsid w:val="0083669D"/>
    <w:rsid w:val="008424D8"/>
    <w:rsid w:val="0085411C"/>
    <w:rsid w:val="00854951"/>
    <w:rsid w:val="00865B8C"/>
    <w:rsid w:val="00867FC0"/>
    <w:rsid w:val="00874C06"/>
    <w:rsid w:val="00880AFF"/>
    <w:rsid w:val="00886551"/>
    <w:rsid w:val="00890F7D"/>
    <w:rsid w:val="008A4A13"/>
    <w:rsid w:val="008B1640"/>
    <w:rsid w:val="008B2E52"/>
    <w:rsid w:val="008C05F7"/>
    <w:rsid w:val="008C7618"/>
    <w:rsid w:val="008D0B34"/>
    <w:rsid w:val="008D1730"/>
    <w:rsid w:val="008D385D"/>
    <w:rsid w:val="008D7CE9"/>
    <w:rsid w:val="008E229F"/>
    <w:rsid w:val="008E56FC"/>
    <w:rsid w:val="00900E25"/>
    <w:rsid w:val="00903DD0"/>
    <w:rsid w:val="00904892"/>
    <w:rsid w:val="0091063E"/>
    <w:rsid w:val="00911E68"/>
    <w:rsid w:val="00914541"/>
    <w:rsid w:val="009209F2"/>
    <w:rsid w:val="0092748A"/>
    <w:rsid w:val="00927590"/>
    <w:rsid w:val="0093429A"/>
    <w:rsid w:val="009470E6"/>
    <w:rsid w:val="0095527B"/>
    <w:rsid w:val="00962D7A"/>
    <w:rsid w:val="009634F5"/>
    <w:rsid w:val="009674D8"/>
    <w:rsid w:val="0098237A"/>
    <w:rsid w:val="00986723"/>
    <w:rsid w:val="00986CD5"/>
    <w:rsid w:val="009877D0"/>
    <w:rsid w:val="00990266"/>
    <w:rsid w:val="00993E11"/>
    <w:rsid w:val="009956F3"/>
    <w:rsid w:val="009A27A7"/>
    <w:rsid w:val="009A33E9"/>
    <w:rsid w:val="009A5091"/>
    <w:rsid w:val="009A69A3"/>
    <w:rsid w:val="009A71A8"/>
    <w:rsid w:val="009B3014"/>
    <w:rsid w:val="009B4897"/>
    <w:rsid w:val="009C15BA"/>
    <w:rsid w:val="009C6720"/>
    <w:rsid w:val="009C6DE9"/>
    <w:rsid w:val="009D78DC"/>
    <w:rsid w:val="009E43A4"/>
    <w:rsid w:val="009F06ED"/>
    <w:rsid w:val="009F69B0"/>
    <w:rsid w:val="00A01E3A"/>
    <w:rsid w:val="00A01F68"/>
    <w:rsid w:val="00A06D78"/>
    <w:rsid w:val="00A16D88"/>
    <w:rsid w:val="00A20ADD"/>
    <w:rsid w:val="00A2432A"/>
    <w:rsid w:val="00A24EF3"/>
    <w:rsid w:val="00A36B41"/>
    <w:rsid w:val="00A42A67"/>
    <w:rsid w:val="00A4576E"/>
    <w:rsid w:val="00A4652D"/>
    <w:rsid w:val="00A568A6"/>
    <w:rsid w:val="00A61859"/>
    <w:rsid w:val="00A70B93"/>
    <w:rsid w:val="00A75C13"/>
    <w:rsid w:val="00A801CD"/>
    <w:rsid w:val="00A95132"/>
    <w:rsid w:val="00A957B5"/>
    <w:rsid w:val="00AA6E05"/>
    <w:rsid w:val="00AB02EA"/>
    <w:rsid w:val="00AC053E"/>
    <w:rsid w:val="00AC0943"/>
    <w:rsid w:val="00AC14EB"/>
    <w:rsid w:val="00AC4D12"/>
    <w:rsid w:val="00AC647F"/>
    <w:rsid w:val="00AD12BE"/>
    <w:rsid w:val="00AD334B"/>
    <w:rsid w:val="00AD36A1"/>
    <w:rsid w:val="00AD3712"/>
    <w:rsid w:val="00AD61B5"/>
    <w:rsid w:val="00AE2B94"/>
    <w:rsid w:val="00AF0A62"/>
    <w:rsid w:val="00AF64E3"/>
    <w:rsid w:val="00B00084"/>
    <w:rsid w:val="00B0441C"/>
    <w:rsid w:val="00B27E8E"/>
    <w:rsid w:val="00B354AA"/>
    <w:rsid w:val="00B35D67"/>
    <w:rsid w:val="00B36ABA"/>
    <w:rsid w:val="00B406EE"/>
    <w:rsid w:val="00B419C8"/>
    <w:rsid w:val="00B54C1C"/>
    <w:rsid w:val="00B5700F"/>
    <w:rsid w:val="00B753ED"/>
    <w:rsid w:val="00B77453"/>
    <w:rsid w:val="00B8337F"/>
    <w:rsid w:val="00B84C02"/>
    <w:rsid w:val="00B87FC8"/>
    <w:rsid w:val="00B91A7E"/>
    <w:rsid w:val="00B92C6D"/>
    <w:rsid w:val="00B94E7E"/>
    <w:rsid w:val="00B94E96"/>
    <w:rsid w:val="00BA2123"/>
    <w:rsid w:val="00BB292C"/>
    <w:rsid w:val="00BB434F"/>
    <w:rsid w:val="00BB7EB2"/>
    <w:rsid w:val="00BD1F89"/>
    <w:rsid w:val="00BD50D7"/>
    <w:rsid w:val="00BD5613"/>
    <w:rsid w:val="00BE4897"/>
    <w:rsid w:val="00BF477B"/>
    <w:rsid w:val="00BF6800"/>
    <w:rsid w:val="00BF6B39"/>
    <w:rsid w:val="00C1144D"/>
    <w:rsid w:val="00C174A8"/>
    <w:rsid w:val="00C21DA6"/>
    <w:rsid w:val="00C23526"/>
    <w:rsid w:val="00C276BA"/>
    <w:rsid w:val="00C31709"/>
    <w:rsid w:val="00C53080"/>
    <w:rsid w:val="00C54685"/>
    <w:rsid w:val="00C63639"/>
    <w:rsid w:val="00C665E5"/>
    <w:rsid w:val="00C6771C"/>
    <w:rsid w:val="00C71205"/>
    <w:rsid w:val="00C756F1"/>
    <w:rsid w:val="00C801A7"/>
    <w:rsid w:val="00C90F6D"/>
    <w:rsid w:val="00C93C4D"/>
    <w:rsid w:val="00C947C4"/>
    <w:rsid w:val="00C94AA5"/>
    <w:rsid w:val="00CA7C75"/>
    <w:rsid w:val="00CB0E7D"/>
    <w:rsid w:val="00CB589A"/>
    <w:rsid w:val="00CC4598"/>
    <w:rsid w:val="00CC7109"/>
    <w:rsid w:val="00CD1FE1"/>
    <w:rsid w:val="00CE3BA9"/>
    <w:rsid w:val="00CE3D95"/>
    <w:rsid w:val="00CE5291"/>
    <w:rsid w:val="00CF1E73"/>
    <w:rsid w:val="00CF2F50"/>
    <w:rsid w:val="00CF597D"/>
    <w:rsid w:val="00CF7CF4"/>
    <w:rsid w:val="00D0217C"/>
    <w:rsid w:val="00D1296F"/>
    <w:rsid w:val="00D15CAF"/>
    <w:rsid w:val="00D17D3E"/>
    <w:rsid w:val="00D21EBA"/>
    <w:rsid w:val="00D232A2"/>
    <w:rsid w:val="00D247A5"/>
    <w:rsid w:val="00D30DF5"/>
    <w:rsid w:val="00D33106"/>
    <w:rsid w:val="00D3499E"/>
    <w:rsid w:val="00D40110"/>
    <w:rsid w:val="00D421EC"/>
    <w:rsid w:val="00D45BA9"/>
    <w:rsid w:val="00D52DFE"/>
    <w:rsid w:val="00D62D29"/>
    <w:rsid w:val="00D63C4C"/>
    <w:rsid w:val="00D66BA4"/>
    <w:rsid w:val="00D67318"/>
    <w:rsid w:val="00D70053"/>
    <w:rsid w:val="00D70828"/>
    <w:rsid w:val="00D72DCB"/>
    <w:rsid w:val="00D77A21"/>
    <w:rsid w:val="00D8047F"/>
    <w:rsid w:val="00D94E13"/>
    <w:rsid w:val="00DA4C29"/>
    <w:rsid w:val="00DB16FB"/>
    <w:rsid w:val="00DB1C51"/>
    <w:rsid w:val="00DB1CD1"/>
    <w:rsid w:val="00DB4D28"/>
    <w:rsid w:val="00DC17A8"/>
    <w:rsid w:val="00DC3D8D"/>
    <w:rsid w:val="00DC45DA"/>
    <w:rsid w:val="00DD202D"/>
    <w:rsid w:val="00DE58B6"/>
    <w:rsid w:val="00DF17BF"/>
    <w:rsid w:val="00E01385"/>
    <w:rsid w:val="00E0175C"/>
    <w:rsid w:val="00E0197C"/>
    <w:rsid w:val="00E13320"/>
    <w:rsid w:val="00E136D8"/>
    <w:rsid w:val="00E21B63"/>
    <w:rsid w:val="00E230AA"/>
    <w:rsid w:val="00E24E1B"/>
    <w:rsid w:val="00E2681D"/>
    <w:rsid w:val="00E32E56"/>
    <w:rsid w:val="00E37AED"/>
    <w:rsid w:val="00E52949"/>
    <w:rsid w:val="00E66D85"/>
    <w:rsid w:val="00E674DA"/>
    <w:rsid w:val="00E712E2"/>
    <w:rsid w:val="00E749A3"/>
    <w:rsid w:val="00E753BC"/>
    <w:rsid w:val="00E80F52"/>
    <w:rsid w:val="00E8731B"/>
    <w:rsid w:val="00E917B7"/>
    <w:rsid w:val="00E954BD"/>
    <w:rsid w:val="00EA1488"/>
    <w:rsid w:val="00EA6B78"/>
    <w:rsid w:val="00EC3596"/>
    <w:rsid w:val="00EC5D71"/>
    <w:rsid w:val="00EC73AF"/>
    <w:rsid w:val="00ED485D"/>
    <w:rsid w:val="00EE5B31"/>
    <w:rsid w:val="00EE5D24"/>
    <w:rsid w:val="00EF2DE4"/>
    <w:rsid w:val="00EF4750"/>
    <w:rsid w:val="00EF5AA3"/>
    <w:rsid w:val="00F02FE7"/>
    <w:rsid w:val="00F04061"/>
    <w:rsid w:val="00F06077"/>
    <w:rsid w:val="00F063AA"/>
    <w:rsid w:val="00F07956"/>
    <w:rsid w:val="00F16DA6"/>
    <w:rsid w:val="00F3062A"/>
    <w:rsid w:val="00F34604"/>
    <w:rsid w:val="00F34E38"/>
    <w:rsid w:val="00F36310"/>
    <w:rsid w:val="00F44C82"/>
    <w:rsid w:val="00F57B1B"/>
    <w:rsid w:val="00F608A7"/>
    <w:rsid w:val="00F6657B"/>
    <w:rsid w:val="00F700FA"/>
    <w:rsid w:val="00F75428"/>
    <w:rsid w:val="00F76BED"/>
    <w:rsid w:val="00F80664"/>
    <w:rsid w:val="00F81047"/>
    <w:rsid w:val="00F84454"/>
    <w:rsid w:val="00F87154"/>
    <w:rsid w:val="00F87C40"/>
    <w:rsid w:val="00F91812"/>
    <w:rsid w:val="00FA3CAA"/>
    <w:rsid w:val="00FA51F8"/>
    <w:rsid w:val="00FA638A"/>
    <w:rsid w:val="00FA6F31"/>
    <w:rsid w:val="00FB2810"/>
    <w:rsid w:val="00FB4988"/>
    <w:rsid w:val="00FB60BC"/>
    <w:rsid w:val="00FC5E2F"/>
    <w:rsid w:val="00FC76A6"/>
    <w:rsid w:val="00FE2ECB"/>
    <w:rsid w:val="00FE5A75"/>
    <w:rsid w:val="197554E8"/>
    <w:rsid w:val="1B1D4D49"/>
    <w:rsid w:val="23357121"/>
    <w:rsid w:val="310077BA"/>
    <w:rsid w:val="370568CE"/>
    <w:rsid w:val="3B283A32"/>
    <w:rsid w:val="45A6783B"/>
    <w:rsid w:val="4A0D5D1E"/>
    <w:rsid w:val="515F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0"/>
    <w:pPr>
      <w:spacing w:before="240" w:after="60"/>
      <w:jc w:val="center"/>
      <w:outlineLvl w:val="0"/>
    </w:pPr>
    <w:rPr>
      <w:rFonts w:ascii="Cambria" w:hAnsi="Cambria"/>
      <w:b/>
      <w:bCs/>
      <w:sz w:val="32"/>
      <w:szCs w:val="32"/>
    </w:rPr>
  </w:style>
  <w:style w:type="character" w:styleId="8">
    <w:name w:val="page number"/>
    <w:basedOn w:val="7"/>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imes New Roman" w:hAnsi="Times New Roman"/>
      <w:kern w:val="2"/>
      <w:sz w:val="18"/>
      <w:szCs w:val="18"/>
    </w:rPr>
  </w:style>
  <w:style w:type="character" w:customStyle="1" w:styleId="13">
    <w:name w:val="标题 Char"/>
    <w:basedOn w:val="7"/>
    <w:link w:val="5"/>
    <w:qFormat/>
    <w:uiPriority w:val="0"/>
    <w:rPr>
      <w:rFonts w:ascii="Cambria" w:hAnsi="Cambria"/>
      <w:b/>
      <w:bCs/>
      <w:kern w:val="2"/>
      <w:sz w:val="32"/>
      <w:szCs w:val="32"/>
    </w:rPr>
  </w:style>
  <w:style w:type="character" w:customStyle="1" w:styleId="14">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704F-7761-4D39-B73A-3BAB4689DA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2006</Words>
  <Characters>2228</Characters>
  <Lines>14</Lines>
  <Paragraphs>4</Paragraphs>
  <TotalTime>20</TotalTime>
  <ScaleCrop>false</ScaleCrop>
  <LinksUpToDate>false</LinksUpToDate>
  <CharactersWithSpaces>2248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2018-02-12T02:33:00Z</dcterms:created>
  <dc:creator>微软用户</dc:creator>
  <cp:lastModifiedBy>赵</cp:lastModifiedBy>
  <cp:lastPrinted>2021-01-27T07:44:00Z</cp:lastPrinted>
  <dcterms:modified xsi:type="dcterms:W3CDTF">2023-02-02T10:20:37Z</dcterms:modified>
  <dc:title>附件1：</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F5F3D3C7EF5D46BDB5AC0B4BB20C19E1</vt:lpwstr>
  </property>
</Properties>
</file>