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5" w:firstLineChars="300"/>
        <w:rPr>
          <w:rFonts w:ascii="宋体"/>
          <w:b/>
          <w:color w:val="000000"/>
          <w:sz w:val="44"/>
          <w:szCs w:val="44"/>
          <w:highlight w:val="none"/>
        </w:rPr>
      </w:pPr>
      <w:r>
        <w:rPr>
          <w:rFonts w:hint="eastAsia" w:ascii="宋体"/>
          <w:b/>
          <w:color w:val="000000"/>
          <w:sz w:val="44"/>
          <w:szCs w:val="44"/>
          <w:highlight w:val="none"/>
        </w:rPr>
        <w:t>西城区园林绿化局202</w:t>
      </w:r>
      <w:r>
        <w:rPr>
          <w:rFonts w:hint="eastAsia" w:ascii="宋体"/>
          <w:b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/>
          <w:b/>
          <w:color w:val="000000"/>
          <w:sz w:val="44"/>
          <w:szCs w:val="44"/>
          <w:highlight w:val="none"/>
        </w:rPr>
        <w:t>年</w:t>
      </w:r>
      <w:r>
        <w:rPr>
          <w:rFonts w:ascii="宋体"/>
          <w:b/>
          <w:color w:val="000000"/>
          <w:sz w:val="44"/>
          <w:szCs w:val="44"/>
          <w:highlight w:val="none"/>
        </w:rPr>
        <w:t>部门预算</w:t>
      </w:r>
    </w:p>
    <w:p>
      <w:pPr>
        <w:jc w:val="center"/>
        <w:rPr>
          <w:rFonts w:ascii="宋体"/>
          <w:b/>
          <w:sz w:val="44"/>
          <w:szCs w:val="44"/>
          <w:highlight w:val="none"/>
        </w:rPr>
      </w:pPr>
      <w:r>
        <w:rPr>
          <w:rFonts w:hint="eastAsia" w:ascii="宋体"/>
          <w:b/>
          <w:sz w:val="44"/>
          <w:szCs w:val="44"/>
          <w:highlight w:val="none"/>
        </w:rPr>
        <w:t>（汇总）</w:t>
      </w:r>
    </w:p>
    <w:p>
      <w:pPr>
        <w:jc w:val="center"/>
        <w:rPr>
          <w:rFonts w:ascii="宋体"/>
          <w:b/>
          <w:sz w:val="44"/>
          <w:szCs w:val="44"/>
          <w:highlight w:val="none"/>
        </w:rPr>
      </w:pPr>
      <w:r>
        <w:rPr>
          <w:rFonts w:hint="eastAsia" w:ascii="宋体"/>
          <w:b/>
          <w:sz w:val="44"/>
          <w:szCs w:val="44"/>
          <w:highlight w:val="none"/>
        </w:rPr>
        <w:t>公开目录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第一部分</w:t>
      </w:r>
      <w:r>
        <w:rPr>
          <w:rFonts w:ascii="黑体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202</w:t>
      </w:r>
      <w:r>
        <w:rPr>
          <w:rFonts w:hint="eastAsia" w:ascii="黑体" w:eastAsia="黑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年</w:t>
      </w:r>
      <w:r>
        <w:rPr>
          <w:rFonts w:ascii="黑体" w:eastAsia="黑体"/>
          <w:color w:val="000000"/>
          <w:sz w:val="32"/>
          <w:szCs w:val="32"/>
          <w:highlight w:val="none"/>
        </w:rPr>
        <w:t>部门预算情况说明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一</w:t>
      </w:r>
      <w:r>
        <w:rPr>
          <w:rFonts w:ascii="黑体" w:eastAsia="黑体"/>
          <w:color w:val="000000"/>
          <w:sz w:val="32"/>
          <w:szCs w:val="32"/>
          <w:highlight w:val="none"/>
        </w:rPr>
        <w:t>、部门情况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（一）部门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机构设置、职责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（二）人员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构成情况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、202</w:t>
      </w:r>
      <w:r>
        <w:rPr>
          <w:rFonts w:hint="eastAsia" w:ascii="黑体" w:eastAsia="黑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年部门预算收支及增减变化情况说明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（一）收入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预算说明</w:t>
      </w:r>
    </w:p>
    <w:p>
      <w:pPr>
        <w:spacing w:line="560" w:lineRule="exact"/>
        <w:ind w:firstLine="800" w:firstLineChars="25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（二）支出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预算说明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三、主要支出情况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四、部门“三公”经费财政拨款预算说明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三公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经费的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范围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三公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经费预算财政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说明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ascii="仿宋_GB2312" w:eastAsia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五、其他情况说明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（二）政府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采购预算说明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预算说明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（四）绩效目标情况及绩效评价结果说明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（五）国有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情况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说明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占用情况说明</w:t>
      </w:r>
    </w:p>
    <w:p>
      <w:pPr>
        <w:spacing w:line="560" w:lineRule="exact"/>
        <w:ind w:firstLine="964" w:firstLineChars="300"/>
        <w:rPr>
          <w:rFonts w:ascii="仿宋_GB2312" w:eastAsia="仿宋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highlight w:val="none"/>
        </w:rPr>
        <w:t>六</w:t>
      </w:r>
      <w:r>
        <w:rPr>
          <w:rFonts w:ascii="仿宋_GB2312" w:eastAsia="仿宋_GB2312"/>
          <w:b/>
          <w:color w:val="000000"/>
          <w:sz w:val="32"/>
          <w:szCs w:val="32"/>
          <w:highlight w:val="none"/>
        </w:rPr>
        <w:t>、名称</w:t>
      </w:r>
      <w:r>
        <w:rPr>
          <w:rFonts w:hint="eastAsia" w:ascii="仿宋_GB2312" w:eastAsia="仿宋_GB2312"/>
          <w:b/>
          <w:color w:val="000000"/>
          <w:sz w:val="32"/>
          <w:szCs w:val="32"/>
          <w:highlight w:val="none"/>
        </w:rPr>
        <w:t>解释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  <w:highlight w:val="none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  <w:highlight w:val="none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  <w:highlight w:val="none"/>
        </w:rPr>
      </w:pPr>
    </w:p>
    <w:p>
      <w:pPr>
        <w:spacing w:line="560" w:lineRule="exact"/>
        <w:rPr>
          <w:rFonts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第二部分</w:t>
      </w:r>
      <w:r>
        <w:rPr>
          <w:rFonts w:ascii="黑体" w:eastAsia="黑体"/>
          <w:color w:val="000000"/>
          <w:sz w:val="32"/>
          <w:szCs w:val="32"/>
          <w:highlight w:val="none"/>
        </w:rPr>
        <w:t>、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202</w:t>
      </w:r>
      <w:r>
        <w:rPr>
          <w:rFonts w:hint="eastAsia" w:ascii="黑体" w:eastAsia="黑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年</w:t>
      </w:r>
      <w:r>
        <w:rPr>
          <w:rFonts w:ascii="黑体" w:eastAsia="黑体"/>
          <w:color w:val="000000"/>
          <w:sz w:val="32"/>
          <w:szCs w:val="32"/>
          <w:highlight w:val="none"/>
        </w:rPr>
        <w:t>部门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预</w:t>
      </w:r>
      <w:r>
        <w:rPr>
          <w:rFonts w:ascii="黑体" w:eastAsia="黑体"/>
          <w:color w:val="000000"/>
          <w:sz w:val="32"/>
          <w:szCs w:val="32"/>
          <w:highlight w:val="none"/>
        </w:rPr>
        <w:t>算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表</w:t>
      </w:r>
    </w:p>
    <w:p>
      <w:pPr>
        <w:spacing w:line="560" w:lineRule="exact"/>
        <w:ind w:firstLine="320" w:firstLineChars="100"/>
        <w:rPr>
          <w:highlight w:val="none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highlight w:val="none"/>
          <w:lang w:val="zh-CN"/>
        </w:rPr>
        <w:t>详见附表文件。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 w:cs="宋体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highlight w:val="none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表五、财政拨款收支总体情况表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表六、一般公共预算支出情况表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表七、一般公共预算基本支出情况表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表八、政府性基金预算支出情况表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表九、国有资本经营预算财政拨款支出表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表十、一般公共预算“三公”经费支出情况表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表十一、政府购买服务预算表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表十二、政府采购预算明细表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表十四、部门整体支出绩效目标申报表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表十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  <w:highlight w:val="none"/>
        </w:rPr>
        <w:t>、上级转移支付细化明细表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320" w:firstLineChars="100"/>
        <w:rPr>
          <w:rFonts w:ascii="楷体" w:eastAsia="楷体"/>
          <w:b/>
          <w:color w:val="000000"/>
          <w:sz w:val="36"/>
          <w:szCs w:val="36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楷体" w:eastAsia="楷体"/>
          <w:b/>
          <w:color w:val="000000"/>
          <w:sz w:val="36"/>
          <w:szCs w:val="36"/>
          <w:highlight w:val="none"/>
        </w:rPr>
        <w:t>第一部分</w:t>
      </w:r>
      <w:r>
        <w:rPr>
          <w:rFonts w:ascii="楷体" w:eastAsia="楷体"/>
          <w:b/>
          <w:color w:val="000000"/>
          <w:sz w:val="36"/>
          <w:szCs w:val="36"/>
          <w:highlight w:val="none"/>
        </w:rPr>
        <w:t>、</w:t>
      </w:r>
      <w:r>
        <w:rPr>
          <w:rFonts w:hint="eastAsia" w:ascii="楷体" w:eastAsia="楷体"/>
          <w:b/>
          <w:color w:val="000000"/>
          <w:sz w:val="36"/>
          <w:szCs w:val="36"/>
          <w:highlight w:val="none"/>
        </w:rPr>
        <w:t>202</w:t>
      </w:r>
      <w:r>
        <w:rPr>
          <w:rFonts w:hint="eastAsia" w:ascii="楷体" w:eastAsia="楷体"/>
          <w:b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楷体" w:eastAsia="楷体"/>
          <w:b/>
          <w:color w:val="000000"/>
          <w:sz w:val="36"/>
          <w:szCs w:val="36"/>
          <w:highlight w:val="none"/>
        </w:rPr>
        <w:t>年</w:t>
      </w:r>
      <w:r>
        <w:rPr>
          <w:rFonts w:ascii="楷体" w:eastAsia="楷体"/>
          <w:b/>
          <w:color w:val="000000"/>
          <w:sz w:val="36"/>
          <w:szCs w:val="36"/>
          <w:highlight w:val="none"/>
        </w:rPr>
        <w:t>部门预算情况说明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一、部门情况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（一）部门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机构设置、职责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  <w:highlight w:val="none"/>
        </w:rPr>
      </w:pPr>
      <w:r>
        <w:rPr>
          <w:rFonts w:ascii="楷体" w:hAnsi="楷体" w:eastAsia="仿宋"/>
          <w:sz w:val="32"/>
          <w:szCs w:val="32"/>
          <w:highlight w:val="none"/>
        </w:rPr>
        <w:t>本部门包括本级预算单位</w:t>
      </w:r>
      <w:r>
        <w:rPr>
          <w:rFonts w:hint="eastAsia" w:ascii="楷体" w:hAnsi="楷体" w:eastAsia="仿宋"/>
          <w:sz w:val="32"/>
          <w:szCs w:val="32"/>
          <w:highlight w:val="none"/>
        </w:rPr>
        <w:t>区园林绿化局（区绿化办）</w:t>
      </w:r>
      <w:r>
        <w:rPr>
          <w:rFonts w:ascii="楷体" w:hAnsi="楷体" w:eastAsia="仿宋"/>
          <w:sz w:val="32"/>
          <w:szCs w:val="32"/>
          <w:highlight w:val="none"/>
        </w:rPr>
        <w:t>，和下属二级预算单位五个，分别是区公园管理中心、人定湖公园管理处、月坛公园管理处、宣武艺园管理处和万寿公园管理处。</w:t>
      </w:r>
    </w:p>
    <w:p>
      <w:pPr>
        <w:spacing w:line="360" w:lineRule="auto"/>
        <w:ind w:firstLine="713" w:firstLineChars="223"/>
        <w:rPr>
          <w:rFonts w:ascii="楷体" w:hAnsi="楷体" w:eastAsia="仿宋"/>
          <w:sz w:val="32"/>
          <w:szCs w:val="32"/>
          <w:highlight w:val="none"/>
        </w:rPr>
      </w:pPr>
      <w:r>
        <w:rPr>
          <w:rFonts w:ascii="楷体" w:hAnsi="楷体" w:eastAsia="仿宋"/>
          <w:sz w:val="32"/>
          <w:szCs w:val="32"/>
          <w:highlight w:val="none"/>
        </w:rPr>
        <w:t>区园林绿化局（区绿化办）</w:t>
      </w:r>
      <w:r>
        <w:rPr>
          <w:rFonts w:hint="eastAsia" w:ascii="楷体" w:hAnsi="楷体" w:eastAsia="仿宋"/>
          <w:sz w:val="32"/>
          <w:szCs w:val="32"/>
          <w:highlight w:val="none"/>
        </w:rPr>
        <w:t>是负责本区园林绿化工作的区政府工作部门，内设6个科室。</w:t>
      </w:r>
      <w:r>
        <w:rPr>
          <w:rFonts w:ascii="楷体" w:hAnsi="楷体" w:eastAsia="仿宋"/>
          <w:sz w:val="32"/>
          <w:szCs w:val="32"/>
          <w:highlight w:val="none"/>
        </w:rPr>
        <w:t>区公园管理中心是负责区属四个公园的管理部门，内设7个科室。四个公园管理处分别负责公园的建设和管理。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（二）人员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构成情况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西城区园林绿化局行政编制25人；实有行政人员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  <w:highlight w:val="none"/>
        </w:rPr>
        <w:t>人；退休人员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  <w:highlight w:val="none"/>
        </w:rPr>
        <w:t>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西城区公园管理中心事业编制57人；实际5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人；退休人员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月坛公园管理处事业编制19人；实际17人；长期聘用临时工24人</w:t>
      </w:r>
      <w:r>
        <w:rPr>
          <w:rFonts w:asci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退休3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人定湖公园管理处事业编制18人；实际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highlight w:val="none"/>
        </w:rPr>
        <w:t>人，长期聘用临时工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eastAsia="仿宋_GB2312"/>
          <w:sz w:val="32"/>
          <w:szCs w:val="32"/>
          <w:highlight w:val="none"/>
        </w:rPr>
        <w:t>人。退休2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人。</w:t>
      </w:r>
    </w:p>
    <w:p>
      <w:pPr>
        <w:spacing w:line="360" w:lineRule="auto"/>
        <w:ind w:firstLine="555"/>
        <w:rPr>
          <w:rFonts w:ascii="楷体" w:hAnsi="楷体" w:eastAsia="仿宋" w:cs="宋体"/>
          <w:sz w:val="32"/>
          <w:szCs w:val="32"/>
          <w:highlight w:val="none"/>
        </w:rPr>
      </w:pPr>
      <w:r>
        <w:rPr>
          <w:rFonts w:hint="eastAsia" w:ascii="楷体" w:hAnsi="楷体" w:eastAsia="仿宋" w:cs="宋体"/>
          <w:sz w:val="32"/>
          <w:szCs w:val="32"/>
          <w:highlight w:val="none"/>
        </w:rPr>
        <w:t>宣武艺园管理处事业编制</w:t>
      </w:r>
      <w:r>
        <w:rPr>
          <w:rFonts w:hint="eastAsia" w:ascii="仿宋_GB2312" w:eastAsia="仿宋_GB2312"/>
          <w:sz w:val="32"/>
          <w:szCs w:val="32"/>
          <w:highlight w:val="none"/>
        </w:rPr>
        <w:t>44人；实际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highlight w:val="none"/>
        </w:rPr>
        <w:t>人；退休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楷体" w:hAnsi="楷体" w:eastAsia="仿宋" w:cs="宋体"/>
          <w:sz w:val="32"/>
          <w:szCs w:val="32"/>
          <w:highlight w:val="none"/>
        </w:rPr>
        <w:t>人。</w:t>
      </w:r>
    </w:p>
    <w:p>
      <w:pPr>
        <w:spacing w:line="360" w:lineRule="auto"/>
        <w:ind w:firstLine="55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万寿公园管理处</w:t>
      </w:r>
      <w:r>
        <w:rPr>
          <w:rFonts w:hint="eastAsia" w:ascii="仿宋_GB2312" w:eastAsia="仿宋_GB2312"/>
          <w:sz w:val="32"/>
          <w:szCs w:val="32"/>
          <w:highlight w:val="none"/>
        </w:rPr>
        <w:t>事业编制2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人；实际20人；退休24人。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二、202</w:t>
      </w:r>
      <w:r>
        <w:rPr>
          <w:rFonts w:hint="eastAsia" w:ascii="黑体" w:eastAsia="黑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年部门预算收支及增减变化情况说明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 xml:space="preserve"> (一)收入预算说明</w:t>
      </w:r>
    </w:p>
    <w:p>
      <w:pPr>
        <w:spacing w:line="360" w:lineRule="auto"/>
        <w:ind w:firstLine="555"/>
        <w:rPr>
          <w:rFonts w:hint="eastAsia" w:asci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  <w:highlight w:val="none"/>
        </w:rPr>
        <w:t>年西城区园林绿化局部门预算收入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15742.56</w:t>
      </w:r>
      <w:r>
        <w:rPr>
          <w:rFonts w:hint="eastAsia" w:ascii="仿宋" w:eastAsia="仿宋"/>
          <w:sz w:val="32"/>
          <w:szCs w:val="32"/>
          <w:highlight w:val="none"/>
        </w:rPr>
        <w:t>万元，比202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年预算收入</w:t>
      </w:r>
      <w:r>
        <w:rPr>
          <w:rFonts w:ascii="仿宋" w:eastAsia="仿宋"/>
          <w:sz w:val="32"/>
          <w:szCs w:val="32"/>
          <w:highlight w:val="none"/>
        </w:rPr>
        <w:t>11421.17</w:t>
      </w:r>
      <w:r>
        <w:rPr>
          <w:rFonts w:hint="eastAsia" w:ascii="仿宋" w:eastAsia="仿宋"/>
          <w:sz w:val="32"/>
          <w:szCs w:val="32"/>
          <w:highlight w:val="none"/>
        </w:rPr>
        <w:t>万元增加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4321.39</w:t>
      </w:r>
      <w:r>
        <w:rPr>
          <w:rFonts w:hint="eastAsia" w:ascii="仿宋" w:eastAsia="仿宋"/>
          <w:sz w:val="32"/>
          <w:szCs w:val="32"/>
          <w:highlight w:val="none"/>
        </w:rPr>
        <w:t>万元，增加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37.84</w:t>
      </w:r>
      <w:r>
        <w:rPr>
          <w:rFonts w:hint="eastAsia" w:ascii="仿宋" w:eastAsia="仿宋"/>
          <w:sz w:val="32"/>
          <w:szCs w:val="32"/>
          <w:highlight w:val="none"/>
        </w:rPr>
        <w:t>%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eastAsia="仿宋"/>
          <w:sz w:val="32"/>
          <w:szCs w:val="32"/>
          <w:highlight w:val="none"/>
        </w:rPr>
        <w:t>主要是工作需要部分项目有所调整所致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。</w:t>
      </w:r>
    </w:p>
    <w:p>
      <w:pPr>
        <w:spacing w:line="360" w:lineRule="auto"/>
        <w:ind w:firstLine="555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其中：财政拨款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15292.55</w:t>
      </w:r>
      <w:bookmarkStart w:id="0" w:name="_GoBack"/>
      <w:bookmarkEnd w:id="0"/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eastAsia="仿宋"/>
          <w:sz w:val="32"/>
          <w:szCs w:val="32"/>
          <w:highlight w:val="none"/>
        </w:rPr>
        <w:t>市级转移支付资金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450</w:t>
      </w:r>
      <w:r>
        <w:rPr>
          <w:rFonts w:hint="eastAsia" w:ascii="仿宋" w:eastAsia="仿宋"/>
          <w:sz w:val="32"/>
          <w:szCs w:val="32"/>
          <w:highlight w:val="none"/>
        </w:rPr>
        <w:t>万元，主要用于西城区古树名木的管理工作。</w:t>
      </w:r>
    </w:p>
    <w:p>
      <w:pPr>
        <w:spacing w:line="360" w:lineRule="auto"/>
        <w:ind w:firstLine="555"/>
        <w:outlineLvl w:val="0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(二)支出预算说明</w:t>
      </w:r>
    </w:p>
    <w:p>
      <w:pPr>
        <w:spacing w:line="360" w:lineRule="auto"/>
        <w:ind w:firstLine="555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  <w:highlight w:val="none"/>
        </w:rPr>
        <w:t>年支出预算按用途划分：（1）基本支出预算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6596.97</w:t>
      </w:r>
      <w:r>
        <w:rPr>
          <w:rFonts w:hint="eastAsia" w:ascii="仿宋" w:eastAsia="仿宋"/>
          <w:sz w:val="32"/>
          <w:szCs w:val="32"/>
          <w:highlight w:val="none"/>
        </w:rPr>
        <w:t>万元，比202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年6569.60万元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，增加了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27.37</w:t>
      </w:r>
      <w:r>
        <w:rPr>
          <w:rFonts w:hint="eastAsia" w:ascii="仿宋" w:eastAsia="仿宋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eastAsia="仿宋"/>
          <w:sz w:val="32"/>
          <w:szCs w:val="32"/>
          <w:highlight w:val="none"/>
        </w:rPr>
        <w:t>0.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仿宋" w:eastAsia="仿宋"/>
          <w:sz w:val="32"/>
          <w:szCs w:val="32"/>
          <w:highlight w:val="none"/>
        </w:rPr>
        <w:t>%。其中：202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  <w:highlight w:val="none"/>
        </w:rPr>
        <w:t>年公用支出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577.7</w:t>
      </w:r>
      <w:r>
        <w:rPr>
          <w:rFonts w:hint="eastAsia" w:ascii="仿宋" w:eastAsia="仿宋"/>
          <w:sz w:val="32"/>
          <w:szCs w:val="32"/>
          <w:highlight w:val="none"/>
        </w:rPr>
        <w:t>万元，比202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年590.46万元，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减少了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12.76</w:t>
      </w:r>
      <w:r>
        <w:rPr>
          <w:rFonts w:hint="eastAsia" w:ascii="仿宋" w:eastAsia="仿宋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2.16</w:t>
      </w:r>
      <w:r>
        <w:rPr>
          <w:rFonts w:hint="eastAsia" w:ascii="仿宋" w:eastAsia="仿宋"/>
          <w:sz w:val="32"/>
          <w:szCs w:val="32"/>
          <w:highlight w:val="none"/>
        </w:rPr>
        <w:t>%，主要原因是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人员减少</w:t>
      </w:r>
      <w:r>
        <w:rPr>
          <w:rFonts w:hint="eastAsia" w:ascii="仿宋" w:eastAsia="仿宋"/>
          <w:sz w:val="32"/>
          <w:szCs w:val="32"/>
          <w:highlight w:val="none"/>
        </w:rPr>
        <w:t>所致。（2）项目支出预算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9145.58</w:t>
      </w:r>
      <w:r>
        <w:rPr>
          <w:rFonts w:hint="eastAsia" w:ascii="仿宋" w:eastAsia="仿宋"/>
          <w:sz w:val="32"/>
          <w:szCs w:val="32"/>
          <w:highlight w:val="none"/>
        </w:rPr>
        <w:t>万元，比202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年4851.57万元，增加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4294.01</w:t>
      </w:r>
      <w:r>
        <w:rPr>
          <w:rFonts w:hint="eastAsia" w:ascii="仿宋" w:eastAsia="仿宋"/>
          <w:sz w:val="32"/>
          <w:szCs w:val="32"/>
          <w:highlight w:val="none"/>
        </w:rPr>
        <w:t>万元，增加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88.51</w:t>
      </w:r>
      <w:r>
        <w:rPr>
          <w:rFonts w:hint="eastAsia" w:ascii="仿宋" w:eastAsia="仿宋"/>
          <w:sz w:val="32"/>
          <w:szCs w:val="32"/>
          <w:highlight w:val="none"/>
        </w:rPr>
        <w:t>%，主要是工作任务调整,项目内容有所增加。</w:t>
      </w:r>
    </w:p>
    <w:p>
      <w:pPr>
        <w:spacing w:line="360" w:lineRule="auto"/>
        <w:ind w:firstLine="555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  <w:highlight w:val="none"/>
        </w:rPr>
        <w:t>年主要项目是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：</w:t>
      </w:r>
      <w:r>
        <w:rPr>
          <w:rFonts w:hint="eastAsia" w:ascii="仿宋" w:eastAsia="仿宋"/>
          <w:sz w:val="32"/>
          <w:szCs w:val="32"/>
          <w:highlight w:val="none"/>
        </w:rPr>
        <w:t>公园视频监控系统维保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eastAsia="仿宋"/>
          <w:sz w:val="32"/>
          <w:szCs w:val="32"/>
          <w:highlight w:val="none"/>
        </w:rPr>
        <w:t>危险性林木有害生物监测防控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eastAsia="仿宋"/>
          <w:sz w:val="32"/>
          <w:szCs w:val="32"/>
          <w:highlight w:val="none"/>
        </w:rPr>
        <w:t>公园设施维护费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eastAsia="仿宋"/>
          <w:sz w:val="32"/>
          <w:szCs w:val="32"/>
          <w:highlight w:val="none"/>
        </w:rPr>
        <w:t>节日景观布置经费等。</w:t>
      </w:r>
    </w:p>
    <w:p>
      <w:pPr>
        <w:spacing w:line="360" w:lineRule="auto"/>
        <w:ind w:firstLine="555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市级转移支付资金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450</w:t>
      </w:r>
      <w:r>
        <w:rPr>
          <w:rFonts w:hint="eastAsia" w:ascii="仿宋" w:eastAsia="仿宋"/>
          <w:sz w:val="32"/>
          <w:szCs w:val="32"/>
          <w:highlight w:val="none"/>
        </w:rPr>
        <w:t>万元，主要用于西城区古树名木的管理工作。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三、主要支出情况</w:t>
      </w:r>
    </w:p>
    <w:p>
      <w:pPr>
        <w:snapToGrid w:val="0"/>
        <w:spacing w:line="360" w:lineRule="auto"/>
        <w:ind w:firstLine="640" w:firstLineChars="200"/>
        <w:rPr>
          <w:rFonts w:ascii="仿宋" w:eastAsia="仿宋"/>
          <w:kern w:val="0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我部门202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  <w:highlight w:val="none"/>
        </w:rPr>
        <w:t>年主要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支出</w:t>
      </w:r>
      <w:r>
        <w:rPr>
          <w:rFonts w:hint="eastAsia" w:ascii="仿宋" w:eastAsia="仿宋"/>
          <w:sz w:val="32"/>
          <w:szCs w:val="32"/>
          <w:highlight w:val="none"/>
        </w:rPr>
        <w:t>为城乡社区支出，涉及资金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12788.23万</w:t>
      </w:r>
      <w:r>
        <w:rPr>
          <w:rFonts w:hint="eastAsia" w:ascii="仿宋" w:eastAsia="仿宋"/>
          <w:sz w:val="32"/>
          <w:szCs w:val="32"/>
          <w:highlight w:val="none"/>
        </w:rPr>
        <w:t>元。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 xml:space="preserve"> 四、部门“三公”经费财政拨款预算说明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三公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经费的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范围</w:t>
      </w:r>
    </w:p>
    <w:p>
      <w:pPr>
        <w:spacing w:line="360" w:lineRule="auto"/>
        <w:ind w:firstLine="646"/>
        <w:rPr>
          <w:rFonts w:ascii="仿宋_GB2312" w:hAnsi="仿宋_GB2312" w:eastAsia="仿宋"/>
          <w:sz w:val="32"/>
          <w:szCs w:val="32"/>
          <w:highlight w:val="none"/>
        </w:rPr>
      </w:pPr>
      <w:r>
        <w:rPr>
          <w:rFonts w:hint="eastAsia" w:ascii="仿宋_GB2312" w:hAnsi="仿宋_GB2312" w:eastAsia="仿宋"/>
          <w:sz w:val="32"/>
          <w:szCs w:val="32"/>
          <w:highlight w:val="none"/>
        </w:rPr>
        <w:t>北京市西城区园林绿化局(本级)部门预算</w:t>
      </w:r>
      <w:r>
        <w:rPr>
          <w:rFonts w:ascii="仿宋_GB2312" w:hAnsi="仿宋_GB2312" w:eastAsia="仿宋"/>
          <w:sz w:val="32"/>
          <w:szCs w:val="32"/>
          <w:highlight w:val="none"/>
        </w:rPr>
        <w:t>和二级预算单位</w:t>
      </w:r>
      <w:r>
        <w:rPr>
          <w:rFonts w:hint="eastAsia" w:ascii="仿宋_GB2312" w:hAnsi="仿宋_GB2312" w:eastAsia="仿宋"/>
          <w:sz w:val="32"/>
          <w:szCs w:val="32"/>
          <w:highlight w:val="none"/>
        </w:rPr>
        <w:t>中因公出国（境）费、公务接待费、公务用车购置及运行维护费的支出单位包括</w:t>
      </w:r>
      <w:r>
        <w:rPr>
          <w:rFonts w:ascii="仿宋_GB2312" w:hAnsi="仿宋_GB2312" w:eastAsia="仿宋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"/>
          <w:sz w:val="32"/>
          <w:szCs w:val="32"/>
          <w:highlight w:val="none"/>
        </w:rPr>
        <w:t>个所属单位。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（二）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三公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经费预算财政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说明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  <w:highlight w:val="none"/>
        </w:rPr>
        <w:t>年部门预算“三公”经费财政拨款预算安排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9.25万元，</w:t>
      </w:r>
      <w:r>
        <w:rPr>
          <w:rFonts w:hint="eastAsia" w:ascii="仿宋" w:eastAsia="仿宋"/>
          <w:sz w:val="32"/>
          <w:szCs w:val="32"/>
          <w:highlight w:val="none"/>
        </w:rPr>
        <w:t>比202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年预算12.66万元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eastAsia="仿宋"/>
          <w:sz w:val="32"/>
          <w:szCs w:val="32"/>
          <w:highlight w:val="none"/>
        </w:rPr>
        <w:t>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3.41</w:t>
      </w:r>
      <w:r>
        <w:rPr>
          <w:rFonts w:hint="eastAsia" w:ascii="仿宋" w:eastAsia="仿宋"/>
          <w:sz w:val="32"/>
          <w:szCs w:val="32"/>
          <w:highlight w:val="none"/>
        </w:rPr>
        <w:t>万元，减少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26.94</w:t>
      </w:r>
      <w:r>
        <w:rPr>
          <w:rFonts w:hint="eastAsia" w:ascii="仿宋" w:eastAsia="仿宋"/>
          <w:sz w:val="32"/>
          <w:szCs w:val="32"/>
          <w:highlight w:val="none"/>
        </w:rPr>
        <w:t>%，主要原因是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人员减少和公务用车</w:t>
      </w:r>
      <w:r>
        <w:rPr>
          <w:rFonts w:hint="eastAsia" w:ascii="仿宋" w:eastAsia="仿宋"/>
          <w:sz w:val="32"/>
          <w:szCs w:val="32"/>
          <w:highlight w:val="none"/>
        </w:rPr>
        <w:t>减少所致。其中，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1、因公出国（境）费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  <w:highlight w:val="none"/>
        </w:rPr>
        <w:t>年财政拨款预算安排0万元, 与202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年财政预算数持平。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2、公务接待费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  <w:highlight w:val="none"/>
        </w:rPr>
        <w:t>年财政拨款预算安排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4.35</w:t>
      </w:r>
      <w:r>
        <w:rPr>
          <w:rFonts w:hint="eastAsia" w:ascii="仿宋" w:eastAsia="仿宋"/>
          <w:sz w:val="32"/>
          <w:szCs w:val="32"/>
          <w:highlight w:val="none"/>
        </w:rPr>
        <w:t>万元</w:t>
      </w:r>
      <w:r>
        <w:rPr>
          <w:rFonts w:ascii="仿宋" w:eastAsia="仿宋"/>
          <w:sz w:val="32"/>
          <w:szCs w:val="32"/>
          <w:highlight w:val="none"/>
        </w:rPr>
        <w:t>，</w:t>
      </w:r>
      <w:r>
        <w:rPr>
          <w:rFonts w:hint="eastAsia" w:ascii="仿宋" w:eastAsia="仿宋"/>
          <w:sz w:val="32"/>
          <w:szCs w:val="32"/>
          <w:highlight w:val="none"/>
        </w:rPr>
        <w:t>比202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年的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5.31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万</w:t>
      </w:r>
      <w:r>
        <w:rPr>
          <w:rFonts w:hint="eastAsia" w:ascii="仿宋" w:eastAsia="仿宋"/>
          <w:sz w:val="32"/>
          <w:szCs w:val="32"/>
          <w:highlight w:val="none"/>
        </w:rPr>
        <w:t>元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eastAsia="仿宋"/>
          <w:sz w:val="32"/>
          <w:szCs w:val="32"/>
          <w:highlight w:val="none"/>
        </w:rPr>
        <w:t>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0.96</w:t>
      </w:r>
      <w:r>
        <w:rPr>
          <w:rFonts w:hint="eastAsia" w:ascii="仿宋" w:eastAsia="仿宋"/>
          <w:sz w:val="32"/>
          <w:szCs w:val="32"/>
          <w:highlight w:val="none"/>
        </w:rPr>
        <w:t>万元，减少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18.08</w:t>
      </w:r>
      <w:r>
        <w:rPr>
          <w:rFonts w:hint="eastAsia" w:ascii="仿宋" w:eastAsia="仿宋"/>
          <w:sz w:val="32"/>
          <w:szCs w:val="32"/>
          <w:highlight w:val="none"/>
        </w:rPr>
        <w:t>%，主要原因是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人员减少和</w:t>
      </w:r>
      <w:r>
        <w:rPr>
          <w:rFonts w:hint="eastAsia" w:ascii="仿宋" w:eastAsia="仿宋"/>
          <w:sz w:val="32"/>
          <w:szCs w:val="32"/>
          <w:highlight w:val="none"/>
        </w:rPr>
        <w:t>办公需求减少所致。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3、公务用车购置及运行维护费</w:t>
      </w:r>
    </w:p>
    <w:p>
      <w:pPr>
        <w:spacing w:line="360" w:lineRule="auto"/>
        <w:ind w:firstLine="646"/>
        <w:rPr>
          <w:rFonts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  <w:highlight w:val="none"/>
        </w:rPr>
        <w:t>年财政拨款预算安排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4.9</w:t>
      </w:r>
      <w:r>
        <w:rPr>
          <w:rFonts w:hint="eastAsia" w:ascii="仿宋" w:eastAsia="仿宋"/>
          <w:sz w:val="32"/>
          <w:szCs w:val="32"/>
          <w:highlight w:val="none"/>
        </w:rPr>
        <w:t>万元，比202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sz w:val="32"/>
          <w:szCs w:val="32"/>
          <w:highlight w:val="none"/>
        </w:rPr>
        <w:t>年的</w:t>
      </w:r>
      <w:r>
        <w:rPr>
          <w:rFonts w:ascii="仿宋" w:eastAsia="仿宋"/>
          <w:sz w:val="32"/>
          <w:szCs w:val="32"/>
          <w:highlight w:val="none"/>
        </w:rPr>
        <w:t>7</w:t>
      </w:r>
      <w:r>
        <w:rPr>
          <w:rFonts w:hint="eastAsia" w:ascii="仿宋" w:eastAsia="仿宋"/>
          <w:sz w:val="32"/>
          <w:szCs w:val="32"/>
          <w:highlight w:val="none"/>
        </w:rPr>
        <w:t>.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eastAsia="仿宋"/>
          <w:sz w:val="32"/>
          <w:szCs w:val="32"/>
          <w:highlight w:val="none"/>
        </w:rPr>
        <w:t>万元增加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2.45</w:t>
      </w:r>
      <w:r>
        <w:rPr>
          <w:rFonts w:hint="eastAsia" w:ascii="仿宋" w:eastAsia="仿宋"/>
          <w:sz w:val="32"/>
          <w:szCs w:val="32"/>
          <w:highlight w:val="none"/>
        </w:rPr>
        <w:t>万元，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eastAsia="仿宋"/>
          <w:sz w:val="32"/>
          <w:szCs w:val="32"/>
          <w:highlight w:val="none"/>
          <w:lang w:val="en-US" w:eastAsia="zh-CN"/>
        </w:rPr>
        <w:t>33.33</w:t>
      </w:r>
      <w:r>
        <w:rPr>
          <w:rFonts w:hint="eastAsia" w:ascii="仿宋" w:eastAsia="仿宋"/>
          <w:sz w:val="32"/>
          <w:szCs w:val="32"/>
          <w:highlight w:val="none"/>
        </w:rPr>
        <w:t>%，主要原因是公务用</w:t>
      </w:r>
      <w:r>
        <w:rPr>
          <w:rFonts w:hint="eastAsia" w:ascii="仿宋" w:eastAsia="仿宋"/>
          <w:sz w:val="32"/>
          <w:szCs w:val="32"/>
          <w:highlight w:val="none"/>
          <w:lang w:eastAsia="zh-CN"/>
        </w:rPr>
        <w:t>车减少所致</w:t>
      </w:r>
      <w:r>
        <w:rPr>
          <w:rFonts w:hint="eastAsia" w:ascii="仿宋" w:eastAsia="仿宋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五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、其他情况说明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（一）机构运行经费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说明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仿宋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年本部门(本级）履行一般行政事业管理职能、维持机关运行，用于一般公共预算安排的行政运行经费，合计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578.78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万元，比202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年的711.65万元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132.87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18.67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%，主要是政策标准变化、及人员增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所致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 xml:space="preserve">                                                                                                                        （二）政府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采购预算说明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2023年涉及政府采购项目7个，预算资金352.58万元，比2022年涉及政府采购项目0个，预算资金0万元，增加了352.58万元,主要原是根据具体项目，执行相关的政府采购要求。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（三）政府购买服务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预算说明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年涉及政府购买服务项目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个，预算资金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110.07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万元，比202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年涉及政府购买服务项目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个，预算资金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81.13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增加了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28.94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万元，主要原因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根据具体项目，执行相关的政府购买服务的规定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2023年的政府购买服务，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分别为以下几个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城市安全风险评估服务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15万元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2、法律顾问服务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3、物业服务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22.43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4、园林绿化资源动态监测评价服务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5、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运行管理服务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32.64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万元。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6. 公众号运营服务15万元</w:t>
      </w:r>
    </w:p>
    <w:p>
      <w:pPr>
        <w:spacing w:line="360" w:lineRule="auto"/>
        <w:ind w:firstLine="320" w:firstLineChars="1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</w:t>
      </w:r>
      <w:r>
        <w:rPr>
          <w:rFonts w:ascii="仿宋_GB2312" w:eastAsia="仿宋_GB2312"/>
          <w:sz w:val="32"/>
          <w:szCs w:val="32"/>
          <w:highlight w:val="none"/>
        </w:rPr>
        <w:t>绩效目标情况</w:t>
      </w:r>
      <w:r>
        <w:rPr>
          <w:rFonts w:hint="eastAsia" w:ascii="仿宋_GB2312" w:eastAsia="仿宋_GB2312"/>
          <w:sz w:val="32"/>
          <w:szCs w:val="32"/>
          <w:highlight w:val="none"/>
        </w:rPr>
        <w:t>及绩效评价结果</w:t>
      </w:r>
      <w:r>
        <w:rPr>
          <w:rFonts w:ascii="仿宋_GB2312" w:eastAsia="仿宋_GB2312"/>
          <w:sz w:val="32"/>
          <w:szCs w:val="32"/>
          <w:highlight w:val="none"/>
        </w:rPr>
        <w:t>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年填报绩效目标的预算项目为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个，金额为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9145.58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万元。其中包括市级转移支付资金项目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个，金额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450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年根据区财政局的要求，我局本级单位对202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年项目成本预算绩效分析，评定级别为“良”，五个下属二级单位此年没有绩效考评。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（五）国有资本经营预算财政拨款情况说明</w:t>
      </w:r>
    </w:p>
    <w:p>
      <w:pPr>
        <w:spacing w:line="360" w:lineRule="auto"/>
        <w:ind w:firstLine="640" w:firstLineChars="200"/>
        <w:rPr>
          <w:rFonts w:ascii="仿宋" w:eastAsia="仿宋" w:cs="仿宋_GB2312"/>
          <w:sz w:val="32"/>
          <w:szCs w:val="32"/>
          <w:highlight w:val="none"/>
        </w:rPr>
      </w:pPr>
      <w:r>
        <w:rPr>
          <w:rFonts w:hint="eastAsia" w:ascii="仿宋" w:eastAsia="仿宋" w:cs="仿宋_GB2312"/>
          <w:sz w:val="32"/>
          <w:szCs w:val="32"/>
          <w:highlight w:val="none"/>
        </w:rPr>
        <w:t>202</w:t>
      </w:r>
      <w:r>
        <w:rPr>
          <w:rFonts w:hint="eastAsia" w:ascii="仿宋" w:eastAsia="仿宋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eastAsia="仿宋" w:cs="仿宋_GB2312"/>
          <w:sz w:val="32"/>
          <w:szCs w:val="32"/>
          <w:highlight w:val="none"/>
        </w:rPr>
        <w:t>年北京市西城区园林绿化局</w:t>
      </w:r>
      <w:r>
        <w:rPr>
          <w:rFonts w:ascii="仿宋" w:eastAsia="仿宋" w:cs="仿宋_GB2312"/>
          <w:sz w:val="32"/>
          <w:szCs w:val="32"/>
          <w:highlight w:val="none"/>
        </w:rPr>
        <w:t>及下属二级预算单位</w:t>
      </w:r>
      <w:r>
        <w:rPr>
          <w:rFonts w:hint="eastAsia" w:ascii="仿宋" w:eastAsia="仿宋" w:cs="仿宋_GB2312"/>
          <w:sz w:val="32"/>
          <w:szCs w:val="32"/>
          <w:highlight w:val="none"/>
        </w:rPr>
        <w:t>无国有资本经营预算拨款收支。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（六）国有资产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占用情况说明</w:t>
      </w:r>
    </w:p>
    <w:p>
      <w:pPr>
        <w:spacing w:line="360" w:lineRule="auto"/>
        <w:ind w:firstLine="640" w:firstLineChars="200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ascii="仿宋" w:eastAsia="仿宋"/>
          <w:color w:val="000000"/>
          <w:sz w:val="32"/>
          <w:szCs w:val="32"/>
          <w:highlight w:val="none"/>
        </w:rPr>
        <w:t>截止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eastAsia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年</w:t>
      </w:r>
      <w:r>
        <w:rPr>
          <w:rFonts w:ascii="仿宋" w:eastAsia="仿宋"/>
          <w:color w:val="000000"/>
          <w:sz w:val="32"/>
          <w:szCs w:val="32"/>
          <w:highlight w:val="none"/>
        </w:rPr>
        <w:t>底，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本部门</w:t>
      </w:r>
      <w:r>
        <w:rPr>
          <w:rFonts w:ascii="仿宋" w:eastAsia="仿宋"/>
          <w:color w:val="000000"/>
          <w:sz w:val="32"/>
          <w:szCs w:val="32"/>
          <w:highlight w:val="none"/>
        </w:rPr>
        <w:t>固定资产总额</w:t>
      </w:r>
      <w:r>
        <w:rPr>
          <w:rFonts w:hint="eastAsia" w:ascii="仿宋" w:eastAsia="仿宋"/>
          <w:color w:val="000000"/>
          <w:sz w:val="32"/>
          <w:szCs w:val="32"/>
          <w:highlight w:val="none"/>
          <w:lang w:val="en-US" w:eastAsia="zh-CN"/>
        </w:rPr>
        <w:t>3127.24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万元。</w:t>
      </w:r>
    </w:p>
    <w:p>
      <w:pPr>
        <w:spacing w:line="360" w:lineRule="auto"/>
        <w:ind w:firstLine="640" w:firstLineChars="200"/>
        <w:rPr>
          <w:rFonts w:asci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部门预算：安排购置车辆0台</w:t>
      </w:r>
      <w:r>
        <w:rPr>
          <w:rFonts w:ascii="仿宋" w:eastAsia="仿宋"/>
          <w:color w:val="000000"/>
          <w:sz w:val="32"/>
          <w:szCs w:val="32"/>
          <w:highlight w:val="none"/>
        </w:rPr>
        <w:t>，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0万元；安排购置单位</w:t>
      </w:r>
      <w:r>
        <w:rPr>
          <w:rFonts w:ascii="仿宋" w:eastAsia="仿宋"/>
          <w:color w:val="000000"/>
          <w:sz w:val="32"/>
          <w:szCs w:val="32"/>
          <w:highlight w:val="none"/>
        </w:rPr>
        <w:t>价值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50万元以上</w:t>
      </w:r>
      <w:r>
        <w:rPr>
          <w:rFonts w:ascii="仿宋" w:eastAsia="仿宋"/>
          <w:color w:val="000000"/>
          <w:sz w:val="32"/>
          <w:szCs w:val="32"/>
          <w:highlight w:val="none"/>
        </w:rPr>
        <w:t>的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通用</w:t>
      </w:r>
      <w:r>
        <w:rPr>
          <w:rFonts w:ascii="仿宋" w:eastAsia="仿宋"/>
          <w:color w:val="000000"/>
          <w:sz w:val="32"/>
          <w:szCs w:val="32"/>
          <w:highlight w:val="none"/>
        </w:rPr>
        <w:t>设备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0台（套）、0万元，安排购置单位</w:t>
      </w:r>
      <w:r>
        <w:rPr>
          <w:rFonts w:ascii="仿宋" w:eastAsia="仿宋"/>
          <w:color w:val="000000"/>
          <w:sz w:val="32"/>
          <w:szCs w:val="32"/>
          <w:highlight w:val="none"/>
        </w:rPr>
        <w:t>价值100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万元以上</w:t>
      </w:r>
      <w:r>
        <w:rPr>
          <w:rFonts w:ascii="仿宋" w:eastAsia="仿宋"/>
          <w:color w:val="000000"/>
          <w:sz w:val="32"/>
          <w:szCs w:val="32"/>
          <w:highlight w:val="none"/>
        </w:rPr>
        <w:t>的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专用</w:t>
      </w:r>
      <w:r>
        <w:rPr>
          <w:rFonts w:ascii="仿宋" w:eastAsia="仿宋"/>
          <w:color w:val="000000"/>
          <w:sz w:val="32"/>
          <w:szCs w:val="32"/>
          <w:highlight w:val="none"/>
        </w:rPr>
        <w:t>设备</w:t>
      </w:r>
      <w:r>
        <w:rPr>
          <w:rFonts w:hint="eastAsia" w:ascii="仿宋" w:eastAsia="仿宋"/>
          <w:color w:val="000000"/>
          <w:sz w:val="32"/>
          <w:szCs w:val="32"/>
          <w:highlight w:val="none"/>
        </w:rPr>
        <w:t>0台（套）、0万元。</w:t>
      </w:r>
    </w:p>
    <w:p>
      <w:pPr>
        <w:spacing w:line="360" w:lineRule="auto"/>
        <w:ind w:firstLine="800" w:firstLineChars="25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六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、名称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解释</w:t>
      </w:r>
    </w:p>
    <w:p>
      <w:pPr>
        <w:spacing w:line="360" w:lineRule="auto"/>
        <w:ind w:firstLine="648"/>
        <w:rPr>
          <w:rFonts w:ascii="仿宋" w:eastAsia="仿宋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</w:rPr>
        <w:t>机关运行经费是指为保障单位正常运行，用于购买货物和服务的各项资金，包括办公及印刷费、邮电费、差旅费、会议费、福利费、日常维修费、专用材料及一般设备购置费、网络运行维护费（全区）、办公用房租赁费、办公用房水电费、办公用房取暖费、办公用房物业管理费、公务用车运行维护以及其他费用。</w:t>
      </w:r>
    </w:p>
    <w:p>
      <w:pPr>
        <w:spacing w:line="560" w:lineRule="exact"/>
        <w:ind w:firstLine="210" w:firstLineChars="100"/>
        <w:rPr>
          <w:highlight w:val="none"/>
        </w:rPr>
      </w:pPr>
    </w:p>
    <w:p>
      <w:pPr>
        <w:spacing w:line="560" w:lineRule="exact"/>
        <w:ind w:firstLine="210" w:firstLineChars="100"/>
        <w:rPr>
          <w:highlight w:val="none"/>
        </w:rPr>
      </w:pPr>
    </w:p>
    <w:p>
      <w:pPr>
        <w:spacing w:line="560" w:lineRule="exact"/>
        <w:ind w:firstLine="320" w:firstLineChars="100"/>
        <w:rPr>
          <w:rFonts w:hint="eastAsia" w:asci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sz w:val="32"/>
          <w:szCs w:val="32"/>
          <w:highlight w:val="none"/>
        </w:rPr>
        <w:t>第二部分、202</w:t>
      </w:r>
      <w:r>
        <w:rPr>
          <w:rFonts w:hint="eastAsia" w:ascii="黑体" w:eastAsia="黑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eastAsia="黑体"/>
          <w:color w:val="000000"/>
          <w:sz w:val="32"/>
          <w:szCs w:val="32"/>
          <w:highlight w:val="none"/>
        </w:rPr>
        <w:t>年部门预算表</w:t>
      </w:r>
    </w:p>
    <w:p>
      <w:pPr>
        <w:spacing w:line="360" w:lineRule="auto"/>
        <w:ind w:firstLine="648"/>
        <w:rPr>
          <w:rFonts w:hint="eastAsia" w:ascii="仿宋" w:eastAsia="仿宋"/>
          <w:sz w:val="32"/>
          <w:szCs w:val="32"/>
          <w:highlight w:val="none"/>
          <w:lang w:val="zh-CN"/>
        </w:rPr>
      </w:pPr>
    </w:p>
    <w:p>
      <w:pPr>
        <w:spacing w:line="360" w:lineRule="auto"/>
        <w:ind w:firstLine="320" w:firstLineChars="100"/>
        <w:rPr>
          <w:rFonts w:hint="eastAsia" w:ascii="仿宋" w:eastAsia="仿宋"/>
          <w:sz w:val="32"/>
          <w:szCs w:val="32"/>
          <w:highlight w:val="none"/>
        </w:rPr>
      </w:pPr>
      <w:r>
        <w:rPr>
          <w:rFonts w:hint="eastAsia" w:ascii="仿宋" w:eastAsia="仿宋"/>
          <w:sz w:val="32"/>
          <w:szCs w:val="32"/>
          <w:highlight w:val="none"/>
          <w:lang w:val="zh-CN"/>
        </w:rPr>
        <w:t>详见附表文件。</w:t>
      </w:r>
    </w:p>
    <w:p>
      <w:pPr>
        <w:spacing w:line="560" w:lineRule="exact"/>
        <w:ind w:firstLine="320" w:firstLineChars="100"/>
        <w:rPr>
          <w:rFonts w:ascii="仿宋_GB2312" w:eastAsia="仿宋_GB2312"/>
          <w:color w:val="000000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pgSz w:w="11907" w:h="16840"/>
      <w:pgMar w:top="1077" w:right="1304" w:bottom="85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5A3D"/>
    <w:rsid w:val="00A32D76"/>
    <w:rsid w:val="00D334D5"/>
    <w:rsid w:val="01CC1F4A"/>
    <w:rsid w:val="01CC67D3"/>
    <w:rsid w:val="02CD3883"/>
    <w:rsid w:val="038056F5"/>
    <w:rsid w:val="038E17E3"/>
    <w:rsid w:val="03A41D8E"/>
    <w:rsid w:val="03B16018"/>
    <w:rsid w:val="03B84058"/>
    <w:rsid w:val="03DA66FB"/>
    <w:rsid w:val="04976CBA"/>
    <w:rsid w:val="04F22168"/>
    <w:rsid w:val="05991390"/>
    <w:rsid w:val="059D6DDD"/>
    <w:rsid w:val="05E448D9"/>
    <w:rsid w:val="069F6097"/>
    <w:rsid w:val="07757FE2"/>
    <w:rsid w:val="07977306"/>
    <w:rsid w:val="083617ED"/>
    <w:rsid w:val="085979A1"/>
    <w:rsid w:val="08607EE9"/>
    <w:rsid w:val="08AA228E"/>
    <w:rsid w:val="090C3A40"/>
    <w:rsid w:val="091A499C"/>
    <w:rsid w:val="094E5C27"/>
    <w:rsid w:val="09902EA0"/>
    <w:rsid w:val="09DA4A20"/>
    <w:rsid w:val="0A2F6D11"/>
    <w:rsid w:val="0A8A4019"/>
    <w:rsid w:val="0B84204D"/>
    <w:rsid w:val="0B863B0C"/>
    <w:rsid w:val="0BE32B23"/>
    <w:rsid w:val="0C2F4E7D"/>
    <w:rsid w:val="0C361AE1"/>
    <w:rsid w:val="0C626633"/>
    <w:rsid w:val="0C8F0763"/>
    <w:rsid w:val="0CD81EBD"/>
    <w:rsid w:val="0D230FB5"/>
    <w:rsid w:val="0D8528C9"/>
    <w:rsid w:val="0D8C7B10"/>
    <w:rsid w:val="0DAA0047"/>
    <w:rsid w:val="0E2C1372"/>
    <w:rsid w:val="0E414DB0"/>
    <w:rsid w:val="0FB57455"/>
    <w:rsid w:val="10205C0C"/>
    <w:rsid w:val="10D20298"/>
    <w:rsid w:val="1184545B"/>
    <w:rsid w:val="11C91EE9"/>
    <w:rsid w:val="120D4F66"/>
    <w:rsid w:val="124609C4"/>
    <w:rsid w:val="12767BD3"/>
    <w:rsid w:val="129428CD"/>
    <w:rsid w:val="12DD22D1"/>
    <w:rsid w:val="136779B0"/>
    <w:rsid w:val="13B93865"/>
    <w:rsid w:val="148D6F96"/>
    <w:rsid w:val="149B356A"/>
    <w:rsid w:val="14F91031"/>
    <w:rsid w:val="15257FAE"/>
    <w:rsid w:val="155915A5"/>
    <w:rsid w:val="15B95D87"/>
    <w:rsid w:val="160C2C2B"/>
    <w:rsid w:val="1622724F"/>
    <w:rsid w:val="163E5CE1"/>
    <w:rsid w:val="16417A32"/>
    <w:rsid w:val="16764ED7"/>
    <w:rsid w:val="16BE18B1"/>
    <w:rsid w:val="16DA6BD0"/>
    <w:rsid w:val="178F6DE5"/>
    <w:rsid w:val="17C1406E"/>
    <w:rsid w:val="1803355F"/>
    <w:rsid w:val="19937256"/>
    <w:rsid w:val="19A80E8E"/>
    <w:rsid w:val="19CC7ABE"/>
    <w:rsid w:val="1A0359D5"/>
    <w:rsid w:val="1A1041CA"/>
    <w:rsid w:val="1BB5719E"/>
    <w:rsid w:val="1BF733F3"/>
    <w:rsid w:val="1CBA5064"/>
    <w:rsid w:val="1CE911A1"/>
    <w:rsid w:val="1E090C82"/>
    <w:rsid w:val="1E3130FB"/>
    <w:rsid w:val="1E5D7DE4"/>
    <w:rsid w:val="1E761FD5"/>
    <w:rsid w:val="1E8414AB"/>
    <w:rsid w:val="1E8D6898"/>
    <w:rsid w:val="1EA00CF0"/>
    <w:rsid w:val="1F8B5A77"/>
    <w:rsid w:val="1FB85B3A"/>
    <w:rsid w:val="1FC344FC"/>
    <w:rsid w:val="21113E26"/>
    <w:rsid w:val="214623F1"/>
    <w:rsid w:val="21857332"/>
    <w:rsid w:val="21F67FA7"/>
    <w:rsid w:val="220424F7"/>
    <w:rsid w:val="22047F16"/>
    <w:rsid w:val="223B5EC4"/>
    <w:rsid w:val="22CC595A"/>
    <w:rsid w:val="234560C2"/>
    <w:rsid w:val="240506A3"/>
    <w:rsid w:val="245C630B"/>
    <w:rsid w:val="250C1A5D"/>
    <w:rsid w:val="25B01088"/>
    <w:rsid w:val="27152B0B"/>
    <w:rsid w:val="272C3DA1"/>
    <w:rsid w:val="272E1A6F"/>
    <w:rsid w:val="27B44060"/>
    <w:rsid w:val="281B59FC"/>
    <w:rsid w:val="2855521A"/>
    <w:rsid w:val="286C6F55"/>
    <w:rsid w:val="28A527AA"/>
    <w:rsid w:val="29F0729C"/>
    <w:rsid w:val="2A7A301E"/>
    <w:rsid w:val="2AB523E8"/>
    <w:rsid w:val="2AE05EBD"/>
    <w:rsid w:val="2AE44D10"/>
    <w:rsid w:val="2B2F2FE7"/>
    <w:rsid w:val="2B3C7DB7"/>
    <w:rsid w:val="2C3C4D29"/>
    <w:rsid w:val="2CC553CB"/>
    <w:rsid w:val="2CEA389F"/>
    <w:rsid w:val="2EAF07DF"/>
    <w:rsid w:val="2EBB3317"/>
    <w:rsid w:val="2F352DC5"/>
    <w:rsid w:val="2F3F5FDD"/>
    <w:rsid w:val="2F4D0AB7"/>
    <w:rsid w:val="2F8307DC"/>
    <w:rsid w:val="2FAD1C54"/>
    <w:rsid w:val="2FB30984"/>
    <w:rsid w:val="305A4DFC"/>
    <w:rsid w:val="31047512"/>
    <w:rsid w:val="31266AAA"/>
    <w:rsid w:val="314B753D"/>
    <w:rsid w:val="31514A12"/>
    <w:rsid w:val="31EE017C"/>
    <w:rsid w:val="32215619"/>
    <w:rsid w:val="32237AD2"/>
    <w:rsid w:val="330D2718"/>
    <w:rsid w:val="332F3921"/>
    <w:rsid w:val="333E0F95"/>
    <w:rsid w:val="346D3728"/>
    <w:rsid w:val="34E77D02"/>
    <w:rsid w:val="34F672B7"/>
    <w:rsid w:val="3565658A"/>
    <w:rsid w:val="35803F85"/>
    <w:rsid w:val="358A29D2"/>
    <w:rsid w:val="36260ED7"/>
    <w:rsid w:val="374C5E41"/>
    <w:rsid w:val="37951B37"/>
    <w:rsid w:val="37DF73C7"/>
    <w:rsid w:val="38577303"/>
    <w:rsid w:val="38870294"/>
    <w:rsid w:val="3A9F0F6F"/>
    <w:rsid w:val="3AB62336"/>
    <w:rsid w:val="3BF54D40"/>
    <w:rsid w:val="3C115507"/>
    <w:rsid w:val="3C1D791F"/>
    <w:rsid w:val="3C431C85"/>
    <w:rsid w:val="3C6E01FF"/>
    <w:rsid w:val="3D327DE7"/>
    <w:rsid w:val="3D64290C"/>
    <w:rsid w:val="3D6B708F"/>
    <w:rsid w:val="3E067A26"/>
    <w:rsid w:val="3E406CC0"/>
    <w:rsid w:val="404635AB"/>
    <w:rsid w:val="404C09FD"/>
    <w:rsid w:val="41BE0075"/>
    <w:rsid w:val="42462313"/>
    <w:rsid w:val="430D623F"/>
    <w:rsid w:val="43696EA0"/>
    <w:rsid w:val="436E1044"/>
    <w:rsid w:val="43A74DA4"/>
    <w:rsid w:val="44F54414"/>
    <w:rsid w:val="455F513D"/>
    <w:rsid w:val="465A4634"/>
    <w:rsid w:val="46EE5914"/>
    <w:rsid w:val="46F56612"/>
    <w:rsid w:val="473D0162"/>
    <w:rsid w:val="48EA6EC4"/>
    <w:rsid w:val="48F8770E"/>
    <w:rsid w:val="48FE595F"/>
    <w:rsid w:val="49466193"/>
    <w:rsid w:val="49B1143B"/>
    <w:rsid w:val="49F677CC"/>
    <w:rsid w:val="4A0F0C2D"/>
    <w:rsid w:val="4A5B77E4"/>
    <w:rsid w:val="4A5E1CFE"/>
    <w:rsid w:val="4AF122FE"/>
    <w:rsid w:val="4B2B02B1"/>
    <w:rsid w:val="4B7670E9"/>
    <w:rsid w:val="4BEB232F"/>
    <w:rsid w:val="4BEC18EE"/>
    <w:rsid w:val="4C1D1114"/>
    <w:rsid w:val="4C3B5D00"/>
    <w:rsid w:val="4C9F46E2"/>
    <w:rsid w:val="4CD37EAA"/>
    <w:rsid w:val="4D883763"/>
    <w:rsid w:val="4E202B44"/>
    <w:rsid w:val="4F38386A"/>
    <w:rsid w:val="4F776780"/>
    <w:rsid w:val="509F1F1A"/>
    <w:rsid w:val="50C83761"/>
    <w:rsid w:val="50CF3A85"/>
    <w:rsid w:val="51571EDE"/>
    <w:rsid w:val="51D866BF"/>
    <w:rsid w:val="521440D6"/>
    <w:rsid w:val="523372AA"/>
    <w:rsid w:val="52374F70"/>
    <w:rsid w:val="52596B22"/>
    <w:rsid w:val="533860EE"/>
    <w:rsid w:val="535B7022"/>
    <w:rsid w:val="539271B3"/>
    <w:rsid w:val="53DD0D09"/>
    <w:rsid w:val="5440293C"/>
    <w:rsid w:val="5497352E"/>
    <w:rsid w:val="55841A76"/>
    <w:rsid w:val="55EE1D17"/>
    <w:rsid w:val="56756485"/>
    <w:rsid w:val="56843DB9"/>
    <w:rsid w:val="57903EB1"/>
    <w:rsid w:val="57A2022B"/>
    <w:rsid w:val="57B07DCA"/>
    <w:rsid w:val="57BF53A3"/>
    <w:rsid w:val="5A46635B"/>
    <w:rsid w:val="5A5633BD"/>
    <w:rsid w:val="5A9705C7"/>
    <w:rsid w:val="5ABE1123"/>
    <w:rsid w:val="5AED6BA7"/>
    <w:rsid w:val="5B0F5808"/>
    <w:rsid w:val="5BE54DC1"/>
    <w:rsid w:val="5BF56D1F"/>
    <w:rsid w:val="5C857E02"/>
    <w:rsid w:val="5CCF11DA"/>
    <w:rsid w:val="5D207080"/>
    <w:rsid w:val="5D2C62B0"/>
    <w:rsid w:val="5DBB7AB4"/>
    <w:rsid w:val="5E5051F4"/>
    <w:rsid w:val="5E5F4852"/>
    <w:rsid w:val="5EB16C44"/>
    <w:rsid w:val="5EF87E7F"/>
    <w:rsid w:val="5F5751C3"/>
    <w:rsid w:val="60596F3C"/>
    <w:rsid w:val="60B25775"/>
    <w:rsid w:val="60EA30AA"/>
    <w:rsid w:val="60EC1E0A"/>
    <w:rsid w:val="60F07DDF"/>
    <w:rsid w:val="61287FA7"/>
    <w:rsid w:val="620145A0"/>
    <w:rsid w:val="62D131AD"/>
    <w:rsid w:val="63716260"/>
    <w:rsid w:val="63F6092F"/>
    <w:rsid w:val="64202E85"/>
    <w:rsid w:val="647A726C"/>
    <w:rsid w:val="64E11E3B"/>
    <w:rsid w:val="650A3BF6"/>
    <w:rsid w:val="65755153"/>
    <w:rsid w:val="65B306B1"/>
    <w:rsid w:val="65EE661C"/>
    <w:rsid w:val="666F4212"/>
    <w:rsid w:val="66853203"/>
    <w:rsid w:val="668E39BC"/>
    <w:rsid w:val="66C33A4F"/>
    <w:rsid w:val="67346F1C"/>
    <w:rsid w:val="676165CB"/>
    <w:rsid w:val="678D7232"/>
    <w:rsid w:val="684D6B7C"/>
    <w:rsid w:val="68980E5C"/>
    <w:rsid w:val="69530A3A"/>
    <w:rsid w:val="69E16213"/>
    <w:rsid w:val="6ADA21CE"/>
    <w:rsid w:val="6AE00CBD"/>
    <w:rsid w:val="6B8D04D2"/>
    <w:rsid w:val="6B97482B"/>
    <w:rsid w:val="6C7B5081"/>
    <w:rsid w:val="6CEC2A56"/>
    <w:rsid w:val="6D03067D"/>
    <w:rsid w:val="6D8C6C44"/>
    <w:rsid w:val="6DBA4077"/>
    <w:rsid w:val="6E520D80"/>
    <w:rsid w:val="6EDA640D"/>
    <w:rsid w:val="6EE16340"/>
    <w:rsid w:val="6F113106"/>
    <w:rsid w:val="6F8A0C51"/>
    <w:rsid w:val="6FEC6633"/>
    <w:rsid w:val="6FF7705F"/>
    <w:rsid w:val="70B04ACF"/>
    <w:rsid w:val="70B0753B"/>
    <w:rsid w:val="71CD1DC1"/>
    <w:rsid w:val="723A0EE7"/>
    <w:rsid w:val="72CE6F75"/>
    <w:rsid w:val="72DB7D53"/>
    <w:rsid w:val="737A7016"/>
    <w:rsid w:val="73871F56"/>
    <w:rsid w:val="73DF6BA1"/>
    <w:rsid w:val="73F25F94"/>
    <w:rsid w:val="74600E4A"/>
    <w:rsid w:val="74C9127D"/>
    <w:rsid w:val="74D353B7"/>
    <w:rsid w:val="74F74B12"/>
    <w:rsid w:val="75A27EDC"/>
    <w:rsid w:val="76956110"/>
    <w:rsid w:val="76D363D8"/>
    <w:rsid w:val="77CD4730"/>
    <w:rsid w:val="78B33BC8"/>
    <w:rsid w:val="78B97E5D"/>
    <w:rsid w:val="79405D11"/>
    <w:rsid w:val="796B0384"/>
    <w:rsid w:val="7A4F4439"/>
    <w:rsid w:val="7ABB1FCD"/>
    <w:rsid w:val="7AEE2982"/>
    <w:rsid w:val="7B0E0DB2"/>
    <w:rsid w:val="7B746A10"/>
    <w:rsid w:val="7BBD78C1"/>
    <w:rsid w:val="7C02104A"/>
    <w:rsid w:val="7D396480"/>
    <w:rsid w:val="7D4B33B1"/>
    <w:rsid w:val="7E5F02E8"/>
    <w:rsid w:val="7ED91835"/>
    <w:rsid w:val="7F405C18"/>
    <w:rsid w:val="7FF7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2022-03-04T06:40:00Z</dcterms:created>
  <dc:creator>Administrator</dc:creator>
  <cp:lastModifiedBy>石卉然</cp:lastModifiedBy>
  <dcterms:modified xsi:type="dcterms:W3CDTF">2023-02-01T04:24:06Z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