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" w:firstLineChars="100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2023年北京市西城区公园管理中心</w:t>
      </w:r>
    </w:p>
    <w:p>
      <w:pPr>
        <w:spacing w:line="560" w:lineRule="exact"/>
        <w:ind w:firstLine="321" w:firstLineChars="100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部门预算及“三公”经费信息公开</w:t>
      </w: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表十四、部门整体支出绩效目标申报表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楷体" w:eastAsia="楷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2023年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ind w:firstLine="55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北京市西城区公园管理中心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是北京市西城区园林绿化局下属二级全额拨款事业单位，</w:t>
      </w:r>
      <w:r>
        <w:rPr>
          <w:rFonts w:hint="eastAsia" w:ascii="仿宋_GB2312" w:hAnsi="仿宋" w:eastAsia="仿宋_GB2312"/>
          <w:sz w:val="32"/>
          <w:szCs w:val="32"/>
        </w:rPr>
        <w:t>内设机构7个科室。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主要职责: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负责区属登记公园的组织人事、劳动和社会保障、财务管理、审计、安全保卫工作，指导区属登记公园的规划、建设、管理、服务、科技等方面工作并监督实施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北京市西城区公园管理中心行政编制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人;事业编制</w:t>
      </w:r>
      <w:r>
        <w:rPr>
          <w:rFonts w:hint="eastAsia" w:ascii="仿宋_GB2312" w:eastAsia="仿宋_GB2312"/>
          <w:sz w:val="32"/>
          <w:szCs w:val="32"/>
          <w:u w:val="single"/>
        </w:rPr>
        <w:t>57</w:t>
      </w:r>
      <w:r>
        <w:rPr>
          <w:rFonts w:hint="eastAsia" w:ascii="仿宋_GB2312" w:eastAsia="仿宋_GB2312"/>
          <w:sz w:val="32"/>
          <w:szCs w:val="32"/>
        </w:rPr>
        <w:t>人；工勤编制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名；实际</w:t>
      </w:r>
      <w:r>
        <w:rPr>
          <w:rFonts w:hint="eastAsia" w:ascii="仿宋_GB2312" w:eastAsia="仿宋_GB2312"/>
          <w:sz w:val="32"/>
          <w:szCs w:val="32"/>
          <w:u w:val="single"/>
        </w:rPr>
        <w:t>53</w:t>
      </w:r>
      <w:r>
        <w:rPr>
          <w:rFonts w:hint="eastAsia" w:ascii="仿宋_GB2312" w:eastAsia="仿宋_GB2312"/>
          <w:sz w:val="32"/>
          <w:szCs w:val="32"/>
        </w:rPr>
        <w:t>人；长期聘用临时工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离退休人员</w:t>
      </w:r>
      <w:r>
        <w:rPr>
          <w:rFonts w:hint="eastAsia"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</w:rPr>
        <w:t>人，其中：离休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人，退休</w:t>
      </w:r>
      <w:r>
        <w:rPr>
          <w:rFonts w:hint="eastAsia"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</w:rPr>
        <w:t>人,调出</w:t>
      </w:r>
      <w:r>
        <w:rPr>
          <w:rFonts w:hint="eastAsia"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2023年部门预算收支及增减变化情况说明</w:t>
      </w:r>
    </w:p>
    <w:p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（一）、收入预算说明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2023年收入预算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24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,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278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,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279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.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45</w:t>
      </w:r>
      <w:r>
        <w:rPr>
          <w:rFonts w:hint="eastAsia" w:ascii="仿宋_GB2312" w:eastAsia="仿宋_GB2312"/>
          <w:sz w:val="32"/>
          <w:szCs w:val="32"/>
        </w:rPr>
        <w:t>元。其中：财政拨款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24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,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278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,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279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.</w:t>
      </w:r>
      <w:r>
        <w:rPr>
          <w:rFonts w:ascii="宋体" w:hAnsi="宋体" w:cs="Arial"/>
          <w:color w:val="000000"/>
          <w:kern w:val="0"/>
          <w:sz w:val="32"/>
          <w:szCs w:val="32"/>
          <w:u w:val="single"/>
        </w:rPr>
        <w:t>45</w:t>
      </w:r>
      <w:r>
        <w:rPr>
          <w:rFonts w:hint="eastAsia" w:ascii="仿宋_GB2312" w:eastAsia="仿宋_GB2312"/>
          <w:sz w:val="32"/>
          <w:szCs w:val="32"/>
        </w:rPr>
        <w:t>元。预算收入比2022年的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22,748,378.63</w:t>
      </w:r>
      <w:r>
        <w:rPr>
          <w:rFonts w:hint="eastAsia" w:ascii="仿宋_GB2312" w:eastAsia="仿宋_GB2312"/>
          <w:sz w:val="32"/>
          <w:szCs w:val="32"/>
        </w:rPr>
        <w:t>元增加</w:t>
      </w:r>
      <w:r>
        <w:rPr>
          <w:rFonts w:hint="eastAsia" w:ascii="宋体" w:hAnsi="宋体" w:cs="Arial"/>
          <w:color w:val="000000"/>
          <w:kern w:val="0"/>
          <w:sz w:val="32"/>
          <w:szCs w:val="32"/>
          <w:u w:val="single"/>
        </w:rPr>
        <w:t>1,529,900.82</w:t>
      </w:r>
      <w:r>
        <w:rPr>
          <w:rFonts w:hint="eastAsia" w:ascii="仿宋_GB2312" w:eastAsia="仿宋_GB2312"/>
          <w:sz w:val="32"/>
          <w:szCs w:val="32"/>
        </w:rPr>
        <w:t>元，增长6.73%%，主要是2023年新增万寿公园运维项目2个及</w:t>
      </w:r>
      <w:r>
        <w:rPr>
          <w:rFonts w:hint="eastAsia" w:ascii="仿宋_GB2312" w:eastAsia="仿宋_GB2312"/>
          <w:color w:val="000000"/>
          <w:sz w:val="32"/>
          <w:szCs w:val="32"/>
        </w:rPr>
        <w:t>以前年度完成项目的质保金，另有部分人员支出增长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555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（二）、支出预算说明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1、2023年支出预算按用途划分：（1）基本支出预算</w:t>
      </w:r>
      <w:r>
        <w:rPr>
          <w:rFonts w:ascii="仿宋_GB2312" w:eastAsia="仿宋_GB2312"/>
          <w:sz w:val="32"/>
          <w:szCs w:val="32"/>
          <w:u w:val="single"/>
        </w:rPr>
        <w:t>19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914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823</w:t>
      </w:r>
      <w:r>
        <w:rPr>
          <w:rFonts w:hint="eastAsia" w:ascii="仿宋_GB2312" w:eastAsia="仿宋_GB2312"/>
          <w:sz w:val="32"/>
          <w:szCs w:val="32"/>
          <w:u w:val="single"/>
        </w:rPr>
        <w:t>.</w:t>
      </w:r>
      <w:r>
        <w:rPr>
          <w:rFonts w:ascii="仿宋_GB2312" w:eastAsia="仿宋_GB2312"/>
          <w:sz w:val="32"/>
          <w:szCs w:val="32"/>
          <w:u w:val="single"/>
        </w:rPr>
        <w:t>07</w:t>
      </w:r>
      <w:r>
        <w:rPr>
          <w:rFonts w:hint="eastAsia" w:ascii="仿宋_GB2312" w:eastAsia="仿宋_GB2312"/>
          <w:sz w:val="32"/>
          <w:szCs w:val="32"/>
        </w:rPr>
        <w:t>元，比2022年</w:t>
      </w:r>
      <w:r>
        <w:rPr>
          <w:rFonts w:ascii="仿宋_GB2312" w:eastAsia="仿宋_GB2312"/>
          <w:sz w:val="32"/>
          <w:szCs w:val="32"/>
          <w:u w:val="single"/>
        </w:rPr>
        <w:t>18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546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909</w:t>
      </w:r>
      <w:r>
        <w:rPr>
          <w:rFonts w:hint="eastAsia" w:ascii="仿宋_GB2312" w:eastAsia="仿宋_GB2312"/>
          <w:sz w:val="32"/>
          <w:szCs w:val="32"/>
          <w:u w:val="single"/>
        </w:rPr>
        <w:t>.</w:t>
      </w:r>
      <w:r>
        <w:rPr>
          <w:rFonts w:ascii="仿宋_GB2312" w:eastAsia="仿宋_GB2312"/>
          <w:sz w:val="32"/>
          <w:szCs w:val="32"/>
          <w:u w:val="single"/>
        </w:rPr>
        <w:t>02</w:t>
      </w:r>
      <w:r>
        <w:rPr>
          <w:rFonts w:hint="eastAsia" w:ascii="仿宋_GB2312" w:eastAsia="仿宋_GB2312"/>
          <w:sz w:val="32"/>
          <w:szCs w:val="32"/>
        </w:rPr>
        <w:t>元增加</w:t>
      </w:r>
      <w:r>
        <w:rPr>
          <w:rFonts w:hint="eastAsia" w:ascii="仿宋_GB2312" w:eastAsia="仿宋_GB2312"/>
          <w:sz w:val="32"/>
          <w:szCs w:val="32"/>
          <w:u w:val="single"/>
        </w:rPr>
        <w:t>1,367,914.05</w:t>
      </w:r>
      <w:r>
        <w:rPr>
          <w:rFonts w:hint="eastAsia" w:ascii="仿宋_GB2312" w:eastAsia="仿宋_GB2312"/>
          <w:sz w:val="32"/>
          <w:szCs w:val="32"/>
        </w:rPr>
        <w:t>元，增长7.38%。其中公用支出</w:t>
      </w:r>
      <w:r>
        <w:rPr>
          <w:rFonts w:hint="eastAsia" w:ascii="仿宋_GB2312" w:eastAsia="仿宋_GB2312"/>
          <w:sz w:val="32"/>
          <w:szCs w:val="32"/>
          <w:u w:val="single"/>
        </w:rPr>
        <w:t>1,617,755.52</w:t>
      </w:r>
      <w:r>
        <w:rPr>
          <w:rFonts w:hint="eastAsia" w:ascii="仿宋_GB2312" w:eastAsia="仿宋_GB2312"/>
          <w:sz w:val="32"/>
          <w:szCs w:val="32"/>
        </w:rPr>
        <w:t>元，比2022年</w:t>
      </w:r>
      <w:r>
        <w:rPr>
          <w:rFonts w:ascii="仿宋_GB2312" w:eastAsia="仿宋_GB2312"/>
          <w:sz w:val="32"/>
          <w:szCs w:val="32"/>
          <w:u w:val="single"/>
        </w:rPr>
        <w:t>1552992</w:t>
      </w:r>
      <w:r>
        <w:rPr>
          <w:rFonts w:hint="eastAsia" w:ascii="仿宋_GB2312" w:eastAsia="仿宋_GB2312"/>
          <w:sz w:val="32"/>
          <w:szCs w:val="32"/>
          <w:u w:val="single"/>
        </w:rPr>
        <w:t>.</w:t>
      </w:r>
      <w:r>
        <w:rPr>
          <w:rFonts w:ascii="仿宋_GB2312" w:eastAsia="仿宋_GB2312"/>
          <w:sz w:val="32"/>
          <w:szCs w:val="32"/>
          <w:u w:val="single"/>
        </w:rPr>
        <w:t>44</w:t>
      </w:r>
      <w:r>
        <w:rPr>
          <w:rFonts w:hint="eastAsia" w:ascii="仿宋_GB2312" w:eastAsia="仿宋_GB2312"/>
          <w:sz w:val="32"/>
          <w:szCs w:val="32"/>
        </w:rPr>
        <w:t>元增加</w:t>
      </w:r>
      <w:r>
        <w:rPr>
          <w:rFonts w:hint="eastAsia" w:ascii="仿宋_GB2312" w:eastAsia="仿宋_GB2312"/>
          <w:sz w:val="32"/>
          <w:szCs w:val="32"/>
          <w:u w:val="single"/>
        </w:rPr>
        <w:t>64,763.08</w:t>
      </w:r>
      <w:r>
        <w:rPr>
          <w:rFonts w:hint="eastAsia" w:ascii="仿宋_GB2312" w:eastAsia="仿宋_GB2312"/>
          <w:sz w:val="32"/>
          <w:szCs w:val="32"/>
        </w:rPr>
        <w:t>元，增加4.17%，基本支出增加主要原因为人员调资，相应人员费用增加。（2）项目支出预算</w:t>
      </w:r>
      <w:r>
        <w:rPr>
          <w:rFonts w:hint="eastAsia" w:ascii="仿宋_GB2312" w:eastAsia="仿宋_GB2312"/>
          <w:sz w:val="32"/>
          <w:szCs w:val="32"/>
          <w:u w:val="single"/>
        </w:rPr>
        <w:t>4,363,456.38</w:t>
      </w:r>
      <w:r>
        <w:rPr>
          <w:rFonts w:hint="eastAsia" w:ascii="仿宋_GB2312" w:eastAsia="仿宋_GB2312"/>
          <w:sz w:val="32"/>
          <w:szCs w:val="32"/>
        </w:rPr>
        <w:t>元，比2022年</w:t>
      </w:r>
      <w:r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201</w:t>
      </w:r>
      <w:r>
        <w:rPr>
          <w:rFonts w:hint="eastAsia" w:ascii="仿宋_GB2312" w:eastAsia="仿宋_GB2312"/>
          <w:sz w:val="32"/>
          <w:szCs w:val="32"/>
          <w:u w:val="single"/>
        </w:rPr>
        <w:t>,</w:t>
      </w:r>
      <w:r>
        <w:rPr>
          <w:rFonts w:ascii="仿宋_GB2312" w:eastAsia="仿宋_GB2312"/>
          <w:sz w:val="32"/>
          <w:szCs w:val="32"/>
          <w:u w:val="single"/>
        </w:rPr>
        <w:t>469</w:t>
      </w:r>
      <w:r>
        <w:rPr>
          <w:rFonts w:hint="eastAsia" w:ascii="仿宋_GB2312" w:eastAsia="仿宋_GB2312"/>
          <w:sz w:val="32"/>
          <w:szCs w:val="32"/>
          <w:u w:val="single"/>
        </w:rPr>
        <w:t>.</w:t>
      </w:r>
      <w:r>
        <w:rPr>
          <w:rFonts w:ascii="仿宋_GB2312" w:eastAsia="仿宋_GB2312"/>
          <w:sz w:val="32"/>
          <w:szCs w:val="32"/>
          <w:u w:val="single"/>
        </w:rPr>
        <w:t>61</w:t>
      </w:r>
      <w:r>
        <w:rPr>
          <w:rFonts w:hint="eastAsia" w:ascii="仿宋_GB2312" w:eastAsia="仿宋_GB2312"/>
          <w:sz w:val="32"/>
          <w:szCs w:val="32"/>
        </w:rPr>
        <w:t>元增加</w:t>
      </w:r>
      <w:r>
        <w:rPr>
          <w:rFonts w:hint="eastAsia" w:ascii="仿宋_GB2312" w:eastAsia="仿宋_GB2312"/>
          <w:sz w:val="32"/>
          <w:szCs w:val="32"/>
          <w:u w:val="single"/>
        </w:rPr>
        <w:t>161,986.77</w:t>
      </w:r>
      <w:r>
        <w:rPr>
          <w:rFonts w:hint="eastAsia" w:ascii="仿宋_GB2312" w:eastAsia="仿宋_GB2312"/>
          <w:sz w:val="32"/>
          <w:szCs w:val="32"/>
        </w:rPr>
        <w:t>元，增长3.86%。主要项目是2023年新增万寿公园运维项目2个及</w:t>
      </w:r>
      <w:r>
        <w:rPr>
          <w:rFonts w:hint="eastAsia" w:ascii="仿宋_GB2312" w:eastAsia="仿宋_GB2312"/>
          <w:color w:val="000000"/>
          <w:sz w:val="32"/>
          <w:szCs w:val="32"/>
        </w:rPr>
        <w:t>以前年度完成项目的质保金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我单位主要支出为城乡社区支出，涉及资金17,426,521.25元。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北京市西城区公园管理中心部门预算中因公出国（境）费、公务接待费、公务用车购置及运行维护费的支出单位包括1个所属单位，即北京市西城区公园管理中心。</w:t>
      </w:r>
    </w:p>
    <w:p>
      <w:pPr>
        <w:numPr>
          <w:ilvl w:val="0"/>
          <w:numId w:val="2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2023年部门预算“三公”经费财政拨款预算安排0.41万元，与2022年部门预算“三公”经费财政拨款预算安排0.41万元相比，无变化。其中：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1、因公出国（境）费 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2023年财政拨款预算安排0万元；与2022年因公出国（境）费财政拨款预算安排0万元相比，增减0万元。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2023年财政拨款预算安排0.41万元，与2022年公务接待费财政拨款预算安排0.41万元相比,无变化。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2023年公务用车财政拨款预算安排0万元，其中公务用车购置费0万元，公务用车运行维护费0万元，与2022年公务用车购置及运行维护费财政拨款预算安排0万元相比，无变化。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2023年本部门履行一般行政事业管理职能、维持机关运行，用于一般公共预算安排的行政运行经费，合计2,428,035.52元。</w:t>
      </w:r>
    </w:p>
    <w:p>
      <w:pPr>
        <w:spacing w:line="560" w:lineRule="exact"/>
        <w:ind w:left="55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left="55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2023年涉及政府采购项目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个，预算资金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元。无办公家具及办公设备购置费。</w:t>
      </w:r>
    </w:p>
    <w:p>
      <w:pPr>
        <w:numPr>
          <w:ilvl w:val="0"/>
          <w:numId w:val="2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2023年涉及政府购买服务项目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个，预算资金</w:t>
      </w:r>
      <w:r>
        <w:rPr>
          <w:rFonts w:hint="eastAsia"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</w:rPr>
        <w:t>元。事业单位不是购买服务主体。</w:t>
      </w:r>
    </w:p>
    <w:p>
      <w:pPr>
        <w:numPr>
          <w:ilvl w:val="0"/>
          <w:numId w:val="2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left="55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2023年无绩效考评项。</w:t>
      </w:r>
    </w:p>
    <w:p>
      <w:pPr>
        <w:numPr>
          <w:ilvl w:val="0"/>
          <w:numId w:val="2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无国有资本经营预算财政拨款。</w:t>
      </w:r>
    </w:p>
    <w:p>
      <w:pPr>
        <w:numPr>
          <w:ilvl w:val="0"/>
          <w:numId w:val="2"/>
        </w:numPr>
        <w:spacing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</w:rPr>
        <w:t>82.84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0万元；单位价值50万元以上的通用设备0台（套）、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万元，单位价值100万元以上的专用设备0台（套）、0万元。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2023部门预算：安排购置车辆0台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0万元；安排购置单位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0台（套）、0万元。</w:t>
      </w:r>
    </w:p>
    <w:p>
      <w:pPr>
        <w:numPr>
          <w:ilvl w:val="0"/>
          <w:numId w:val="3"/>
        </w:num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表一至表十四见“北京市西城区公园管理中心2023年部门预算信息公开报表”。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0610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0D2324"/>
    <w:multiLevelType w:val="singleLevel"/>
    <w:tmpl w:val="D00D23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C778ED"/>
    <w:multiLevelType w:val="singleLevel"/>
    <w:tmpl w:val="D8C778E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9182C3"/>
    <w:multiLevelType w:val="singleLevel"/>
    <w:tmpl w:val="039182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9F1"/>
    <w:rsid w:val="000932E9"/>
    <w:rsid w:val="000A49F5"/>
    <w:rsid w:val="000E6DC4"/>
    <w:rsid w:val="00211456"/>
    <w:rsid w:val="002A4D2E"/>
    <w:rsid w:val="002B055C"/>
    <w:rsid w:val="002B29EC"/>
    <w:rsid w:val="002C0249"/>
    <w:rsid w:val="002E2AA5"/>
    <w:rsid w:val="00307625"/>
    <w:rsid w:val="00385D0C"/>
    <w:rsid w:val="003E2F7E"/>
    <w:rsid w:val="003F71E6"/>
    <w:rsid w:val="004362E4"/>
    <w:rsid w:val="0049274C"/>
    <w:rsid w:val="004E4603"/>
    <w:rsid w:val="00537644"/>
    <w:rsid w:val="005411DB"/>
    <w:rsid w:val="005924C2"/>
    <w:rsid w:val="005D6C73"/>
    <w:rsid w:val="005D75D6"/>
    <w:rsid w:val="00606906"/>
    <w:rsid w:val="006345FF"/>
    <w:rsid w:val="00642BA8"/>
    <w:rsid w:val="00643A40"/>
    <w:rsid w:val="006E1B83"/>
    <w:rsid w:val="007263AE"/>
    <w:rsid w:val="00764059"/>
    <w:rsid w:val="007A3A49"/>
    <w:rsid w:val="007A7D0D"/>
    <w:rsid w:val="007D1299"/>
    <w:rsid w:val="00814219"/>
    <w:rsid w:val="00834DC0"/>
    <w:rsid w:val="00857847"/>
    <w:rsid w:val="008A7B7B"/>
    <w:rsid w:val="008B1EA0"/>
    <w:rsid w:val="008B68F2"/>
    <w:rsid w:val="008E3064"/>
    <w:rsid w:val="008E583C"/>
    <w:rsid w:val="009164A1"/>
    <w:rsid w:val="009646EA"/>
    <w:rsid w:val="009B4EAB"/>
    <w:rsid w:val="00B52F9C"/>
    <w:rsid w:val="00BB79F1"/>
    <w:rsid w:val="00BD0969"/>
    <w:rsid w:val="00C74A27"/>
    <w:rsid w:val="00C94319"/>
    <w:rsid w:val="00D16C05"/>
    <w:rsid w:val="00D176DA"/>
    <w:rsid w:val="00D17E22"/>
    <w:rsid w:val="00D81AEA"/>
    <w:rsid w:val="00D9369C"/>
    <w:rsid w:val="00E160C6"/>
    <w:rsid w:val="00FA053E"/>
    <w:rsid w:val="00FC6B0B"/>
    <w:rsid w:val="00FF24F8"/>
    <w:rsid w:val="2CB04CF6"/>
    <w:rsid w:val="69A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character" w:customStyle="1" w:styleId="15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批注框文本 Char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页眉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2184</Characters>
  <Lines>18</Lines>
  <Paragraphs>5</Paragraphs>
  <TotalTime>0</TotalTime>
  <ScaleCrop>false</ScaleCrop>
  <LinksUpToDate>false</LinksUpToDate>
  <CharactersWithSpaces>2562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2023-01-20T05:21:00Z</dcterms:created>
  <dc:creator>SAMSUNG</dc:creator>
  <cp:lastModifiedBy>石卉然</cp:lastModifiedBy>
  <cp:lastPrinted>2021-01-28T04:52:00Z</cp:lastPrinted>
  <dcterms:modified xsi:type="dcterms:W3CDTF">2023-02-01T03:46:36Z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