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北京市第十三中学分校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学校设置四个职能机构：学生发展指导中心；教学研究指导中心；教师发展培训中心；学校服务保障中心</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1、学生发展指导中心</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负责人：副校长</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下 设：学生管理部：负责学生日常管理工作。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学生活动部：组织学校大型活动及组织落实城宫计划。</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学生心理健康部：负责学校心理健康工作。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核心创新工作：班级教导团队、德育管理团队建设；实践活动创建特色；城宫计划打造品牌。加强学情调研、家长学校、社会资源的开发利用。</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2、教学研究指导中心</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负责人：副校长</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下 设：教学管理部：负责学校教学常规及教务工作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课程建设部：加强课程建设研究，负责校本选修课的设置及运行管理。</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信息发展部：负责学校计算机、多媒体、网络建设。</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核心创新工作：提高教学监管的实效性，加强课程建设，落实、完善学校自主排课实验方案，在课程设计上有所突破，确保学校教学质量及教学秩序，建立学校高水平网络中心，提高学校信息化建设水平。</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3、教师发展培训中心</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负责人：副校长</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下 设：科研部：负责学校科研工作。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师训部：负责教师继续教育培训、青年教师培养、学科带头人管理与考核工作。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核心创新工作：以科研引领学校教育教学工作，以科研加强教师队伍建设，为教师搭设不同的成长平台，促进教师发展。</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4、学校服务保障中心</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负责人：校长</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下 设：总务后勤部：负责学校后勤保障工作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学校校务部：负责学校校务及党务工作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核心创新工作：增强服务意识，提高服务水平及效率，全方位为广大师生提供服务。</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220</w:t>
      </w:r>
      <w:r>
        <w:rPr>
          <w:rFonts w:hint="eastAsia" w:ascii="仿宋" w:hAnsi="仿宋" w:eastAsia="仿宋"/>
          <w:color w:val="000000"/>
          <w:sz w:val="32"/>
          <w:szCs w:val="32"/>
        </w:rPr>
        <w:t>人，实际在册教职工</w:t>
      </w:r>
      <w:r>
        <w:rPr>
          <w:rFonts w:ascii="仿宋" w:hAnsi="仿宋" w:eastAsia="仿宋"/>
          <w:color w:val="000000"/>
          <w:sz w:val="32"/>
          <w:szCs w:val="32"/>
        </w:rPr>
        <w:t>213</w:t>
      </w:r>
      <w:r>
        <w:rPr>
          <w:rFonts w:hint="eastAsia" w:ascii="仿宋" w:hAnsi="仿宋" w:eastAsia="仿宋"/>
          <w:color w:val="000000"/>
          <w:sz w:val="32"/>
          <w:szCs w:val="32"/>
        </w:rPr>
        <w:t>人，离休</w:t>
      </w:r>
      <w:r>
        <w:rPr>
          <w:rFonts w:ascii="仿宋" w:hAnsi="仿宋" w:eastAsia="仿宋"/>
          <w:color w:val="000000"/>
          <w:sz w:val="32"/>
          <w:szCs w:val="32"/>
        </w:rPr>
        <w:t>5</w:t>
      </w:r>
      <w:r>
        <w:rPr>
          <w:rFonts w:hint="eastAsia" w:ascii="仿宋" w:hAnsi="仿宋" w:eastAsia="仿宋"/>
          <w:color w:val="000000"/>
          <w:sz w:val="32"/>
          <w:szCs w:val="32"/>
        </w:rPr>
        <w:t>人，退休</w:t>
      </w:r>
      <w:r>
        <w:rPr>
          <w:rFonts w:ascii="仿宋" w:hAnsi="仿宋" w:eastAsia="仿宋"/>
          <w:color w:val="000000"/>
          <w:sz w:val="32"/>
          <w:szCs w:val="32"/>
        </w:rPr>
        <w:t>208</w:t>
      </w:r>
      <w:r>
        <w:rPr>
          <w:rFonts w:hint="eastAsia" w:ascii="仿宋" w:hAnsi="仿宋" w:eastAsia="仿宋"/>
          <w:color w:val="000000"/>
          <w:sz w:val="32"/>
          <w:szCs w:val="32"/>
        </w:rPr>
        <w:t>人。学生</w:t>
      </w:r>
      <w:r>
        <w:rPr>
          <w:rFonts w:ascii="仿宋" w:hAnsi="仿宋" w:eastAsia="仿宋"/>
          <w:color w:val="000000"/>
          <w:sz w:val="32"/>
          <w:szCs w:val="32"/>
        </w:rPr>
        <w:t>1869</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0</w:t>
      </w:r>
      <w:r>
        <w:rPr>
          <w:rFonts w:hint="eastAsia" w:ascii="仿宋" w:hAnsi="仿宋" w:eastAsia="仿宋"/>
          <w:color w:val="000000"/>
          <w:sz w:val="32"/>
          <w:szCs w:val="32"/>
        </w:rPr>
        <w:t>人，初中</w:t>
      </w:r>
      <w:r>
        <w:rPr>
          <w:rFonts w:ascii="仿宋" w:hAnsi="仿宋" w:eastAsia="仿宋"/>
          <w:color w:val="000000"/>
          <w:sz w:val="32"/>
          <w:szCs w:val="32"/>
        </w:rPr>
        <w:t>1869</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0</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9958.32</w:t>
      </w:r>
      <w:r>
        <w:rPr>
          <w:rFonts w:hint="eastAsia" w:ascii="仿宋" w:hAnsi="仿宋" w:eastAsia="仿宋"/>
          <w:color w:val="000000"/>
          <w:sz w:val="32"/>
          <w:szCs w:val="32"/>
        </w:rPr>
        <w:t>万元，比2022年年初</w:t>
      </w:r>
      <w:r>
        <w:rPr>
          <w:rFonts w:ascii="仿宋" w:hAnsi="仿宋" w:eastAsia="仿宋"/>
          <w:color w:val="000000"/>
          <w:sz w:val="32"/>
          <w:szCs w:val="32"/>
        </w:rPr>
        <w:t>预算8941.10</w:t>
      </w:r>
      <w:r>
        <w:rPr>
          <w:rFonts w:hint="eastAsia" w:ascii="仿宋" w:hAnsi="仿宋" w:eastAsia="仿宋"/>
          <w:color w:val="000000"/>
          <w:sz w:val="32"/>
          <w:szCs w:val="32"/>
        </w:rPr>
        <w:t>万元增加</w:t>
      </w:r>
      <w:r>
        <w:rPr>
          <w:rFonts w:ascii="仿宋" w:hAnsi="仿宋" w:eastAsia="仿宋"/>
          <w:color w:val="000000"/>
          <w:sz w:val="32"/>
          <w:szCs w:val="32"/>
        </w:rPr>
        <w:t>1017.22</w:t>
      </w:r>
      <w:r>
        <w:rPr>
          <w:rFonts w:hint="eastAsia" w:ascii="仿宋" w:hAnsi="仿宋" w:eastAsia="仿宋"/>
          <w:color w:val="000000"/>
          <w:sz w:val="32"/>
          <w:szCs w:val="32"/>
        </w:rPr>
        <w:t>万元，增长</w:t>
      </w:r>
      <w:r>
        <w:rPr>
          <w:rFonts w:ascii="仿宋" w:hAnsi="仿宋" w:eastAsia="仿宋"/>
          <w:color w:val="000000"/>
          <w:sz w:val="32"/>
          <w:szCs w:val="32"/>
        </w:rPr>
        <w:t>11.38</w:t>
      </w:r>
      <w:r>
        <w:rPr>
          <w:rFonts w:hint="eastAsia" w:ascii="仿宋" w:hAnsi="仿宋" w:eastAsia="仿宋"/>
          <w:color w:val="000000"/>
          <w:sz w:val="32"/>
          <w:szCs w:val="32"/>
        </w:rPr>
        <w:t>%，主要原因是扩班，人员公用增多，相应的保险也增多。其中：本年财政拨款收入</w:t>
      </w:r>
      <w:r>
        <w:rPr>
          <w:rFonts w:ascii="仿宋" w:hAnsi="仿宋" w:eastAsia="仿宋"/>
          <w:color w:val="000000"/>
          <w:sz w:val="32"/>
          <w:szCs w:val="32"/>
        </w:rPr>
        <w:t>9958.32</w:t>
      </w:r>
      <w:r>
        <w:rPr>
          <w:rFonts w:hint="eastAsia" w:ascii="仿宋" w:hAnsi="仿宋" w:eastAsia="仿宋"/>
          <w:color w:val="000000"/>
          <w:sz w:val="32"/>
          <w:szCs w:val="32"/>
        </w:rPr>
        <w:t>万元,比2022年年初预算</w:t>
      </w:r>
      <w:r>
        <w:rPr>
          <w:rFonts w:ascii="仿宋" w:hAnsi="仿宋" w:eastAsia="仿宋"/>
          <w:color w:val="000000"/>
          <w:sz w:val="32"/>
          <w:szCs w:val="32"/>
        </w:rPr>
        <w:t>8941.10</w:t>
      </w:r>
      <w:r>
        <w:rPr>
          <w:rFonts w:hint="eastAsia" w:ascii="仿宋" w:hAnsi="仿宋" w:eastAsia="仿宋"/>
          <w:color w:val="000000"/>
          <w:sz w:val="32"/>
          <w:szCs w:val="32"/>
        </w:rPr>
        <w:t>万元增加</w:t>
      </w:r>
      <w:r>
        <w:rPr>
          <w:rFonts w:ascii="仿宋" w:hAnsi="仿宋" w:eastAsia="仿宋"/>
          <w:color w:val="000000"/>
          <w:sz w:val="32"/>
          <w:szCs w:val="32"/>
        </w:rPr>
        <w:t>1017.22</w:t>
      </w:r>
      <w:r>
        <w:rPr>
          <w:rFonts w:hint="eastAsia" w:ascii="仿宋" w:hAnsi="仿宋" w:eastAsia="仿宋"/>
          <w:color w:val="000000"/>
          <w:sz w:val="32"/>
          <w:szCs w:val="32"/>
        </w:rPr>
        <w:t>万元，增长</w:t>
      </w:r>
      <w:r>
        <w:rPr>
          <w:rFonts w:ascii="仿宋" w:hAnsi="仿宋" w:eastAsia="仿宋"/>
          <w:color w:val="000000"/>
          <w:sz w:val="32"/>
          <w:szCs w:val="32"/>
        </w:rPr>
        <w:t>11.38</w:t>
      </w:r>
      <w:r>
        <w:rPr>
          <w:rFonts w:hint="eastAsia" w:ascii="仿宋" w:hAnsi="仿宋" w:eastAsia="仿宋"/>
          <w:color w:val="000000"/>
          <w:sz w:val="32"/>
          <w:szCs w:val="32"/>
        </w:rPr>
        <w:t>%。2023年支出预算</w:t>
      </w:r>
      <w:r>
        <w:rPr>
          <w:rFonts w:ascii="仿宋" w:hAnsi="仿宋" w:eastAsia="仿宋"/>
          <w:color w:val="000000"/>
          <w:sz w:val="32"/>
          <w:szCs w:val="32"/>
        </w:rPr>
        <w:t>9958.32</w:t>
      </w:r>
      <w:r>
        <w:rPr>
          <w:rFonts w:hint="eastAsia" w:ascii="仿宋" w:hAnsi="仿宋" w:eastAsia="仿宋"/>
          <w:color w:val="000000"/>
          <w:sz w:val="32"/>
          <w:szCs w:val="32"/>
        </w:rPr>
        <w:t>万元，比2022年年初</w:t>
      </w:r>
      <w:r>
        <w:rPr>
          <w:rFonts w:ascii="仿宋" w:hAnsi="仿宋" w:eastAsia="仿宋"/>
          <w:color w:val="000000"/>
          <w:sz w:val="32"/>
          <w:szCs w:val="32"/>
        </w:rPr>
        <w:t>预算8941.10</w:t>
      </w:r>
      <w:r>
        <w:rPr>
          <w:rFonts w:hint="eastAsia" w:ascii="仿宋" w:hAnsi="仿宋" w:eastAsia="仿宋"/>
          <w:color w:val="000000"/>
          <w:sz w:val="32"/>
          <w:szCs w:val="32"/>
        </w:rPr>
        <w:t>万元增加</w:t>
      </w:r>
      <w:r>
        <w:rPr>
          <w:rFonts w:ascii="仿宋" w:hAnsi="仿宋" w:eastAsia="仿宋"/>
          <w:color w:val="000000"/>
          <w:sz w:val="32"/>
          <w:szCs w:val="32"/>
        </w:rPr>
        <w:t>1017.22</w:t>
      </w:r>
      <w:r>
        <w:rPr>
          <w:rFonts w:hint="eastAsia" w:ascii="仿宋" w:hAnsi="仿宋" w:eastAsia="仿宋"/>
          <w:color w:val="000000"/>
          <w:sz w:val="32"/>
          <w:szCs w:val="32"/>
        </w:rPr>
        <w:t>万元，增长</w:t>
      </w:r>
      <w:r>
        <w:rPr>
          <w:rFonts w:ascii="仿宋" w:hAnsi="仿宋" w:eastAsia="仿宋"/>
          <w:color w:val="000000"/>
          <w:sz w:val="32"/>
          <w:szCs w:val="32"/>
        </w:rPr>
        <w:t>11.38</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中一般公共预算支出预算9958.32</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9397.38</w:t>
      </w:r>
      <w:r>
        <w:rPr>
          <w:rFonts w:hint="eastAsia" w:ascii="仿宋" w:hAnsi="仿宋" w:eastAsia="仿宋"/>
          <w:color w:val="000000"/>
          <w:sz w:val="32"/>
          <w:szCs w:val="32"/>
        </w:rPr>
        <w:t>万元，较去年年初</w:t>
      </w:r>
      <w:r>
        <w:rPr>
          <w:rFonts w:ascii="仿宋" w:hAnsi="仿宋" w:eastAsia="仿宋"/>
          <w:color w:val="000000"/>
          <w:sz w:val="32"/>
          <w:szCs w:val="32"/>
        </w:rPr>
        <w:t>预算8615.48</w:t>
      </w:r>
      <w:r>
        <w:rPr>
          <w:rFonts w:hint="eastAsia" w:ascii="仿宋" w:hAnsi="仿宋" w:eastAsia="仿宋"/>
          <w:color w:val="000000"/>
          <w:sz w:val="32"/>
          <w:szCs w:val="32"/>
        </w:rPr>
        <w:t>元增加</w:t>
      </w:r>
      <w:r>
        <w:rPr>
          <w:rFonts w:ascii="仿宋" w:hAnsi="仿宋" w:eastAsia="仿宋"/>
          <w:color w:val="000000"/>
          <w:sz w:val="32"/>
          <w:szCs w:val="32"/>
        </w:rPr>
        <w:t>781.89</w:t>
      </w:r>
      <w:r>
        <w:rPr>
          <w:rFonts w:hint="eastAsia" w:ascii="仿宋" w:hAnsi="仿宋" w:eastAsia="仿宋"/>
          <w:color w:val="000000"/>
          <w:sz w:val="32"/>
          <w:szCs w:val="32"/>
        </w:rPr>
        <w:t>万元，主要原因是扩班，人员公用增多，相应的保险也增多；项目支出预算</w:t>
      </w:r>
      <w:r>
        <w:rPr>
          <w:rFonts w:ascii="仿宋" w:hAnsi="仿宋" w:eastAsia="仿宋"/>
          <w:color w:val="000000"/>
          <w:sz w:val="32"/>
          <w:szCs w:val="32"/>
        </w:rPr>
        <w:t>560.94</w:t>
      </w:r>
      <w:r>
        <w:rPr>
          <w:rFonts w:hint="eastAsia" w:ascii="仿宋" w:hAnsi="仿宋" w:eastAsia="仿宋"/>
          <w:color w:val="000000"/>
          <w:sz w:val="32"/>
          <w:szCs w:val="32"/>
        </w:rPr>
        <w:t>万元，较去年年初</w:t>
      </w:r>
      <w:r>
        <w:rPr>
          <w:rFonts w:ascii="仿宋" w:hAnsi="仿宋" w:eastAsia="仿宋"/>
          <w:color w:val="000000"/>
          <w:sz w:val="32"/>
          <w:szCs w:val="32"/>
        </w:rPr>
        <w:t>预算325.62</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元增加</w:t>
      </w:r>
      <w:r>
        <w:rPr>
          <w:rFonts w:ascii="仿宋" w:hAnsi="仿宋" w:eastAsia="仿宋"/>
          <w:color w:val="000000"/>
          <w:sz w:val="32"/>
          <w:szCs w:val="32"/>
        </w:rPr>
        <w:t>235.33</w:t>
      </w:r>
      <w:r>
        <w:rPr>
          <w:rFonts w:hint="eastAsia" w:ascii="仿宋" w:hAnsi="仿宋" w:eastAsia="仿宋"/>
          <w:color w:val="000000"/>
          <w:sz w:val="32"/>
          <w:szCs w:val="32"/>
        </w:rPr>
        <w:t>万元，主要原因是今年新增食堂，保洁专项。</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北京市第十三中学分校的公用经费预算按照北京市财政局和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w:t>
      </w:r>
      <w:r>
        <w:rPr>
          <w:rFonts w:ascii="仿宋" w:hAnsi="仿宋" w:eastAsia="仿宋"/>
          <w:color w:val="000000"/>
          <w:sz w:val="32"/>
          <w:szCs w:val="32"/>
        </w:rPr>
        <w:t>147</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9</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2</w:t>
      </w:r>
      <w:r>
        <w:rPr>
          <w:rFonts w:hint="eastAsia" w:ascii="仿宋" w:hAnsi="仿宋" w:eastAsia="仿宋"/>
          <w:color w:val="000000"/>
          <w:sz w:val="32"/>
          <w:szCs w:val="32"/>
        </w:rPr>
        <w:t>个，涉及金额</w:t>
      </w:r>
      <w:r>
        <w:rPr>
          <w:rFonts w:ascii="仿宋" w:hAnsi="仿宋" w:eastAsia="仿宋"/>
          <w:color w:val="000000"/>
          <w:sz w:val="32"/>
          <w:szCs w:val="32"/>
        </w:rPr>
        <w:t>268.29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固定资产总额5236.78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，25.79</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设备2</w:t>
      </w:r>
      <w:r>
        <w:rPr>
          <w:rFonts w:hint="eastAsia" w:ascii="仿宋" w:hAnsi="仿宋" w:eastAsia="仿宋"/>
          <w:color w:val="000000"/>
          <w:sz w:val="32"/>
          <w:szCs w:val="32"/>
        </w:rPr>
        <w:t>台（套）、</w:t>
      </w:r>
      <w:r>
        <w:rPr>
          <w:rFonts w:ascii="仿宋" w:hAnsi="仿宋" w:eastAsia="仿宋"/>
          <w:color w:val="000000"/>
          <w:sz w:val="32"/>
          <w:szCs w:val="32"/>
        </w:rPr>
        <w:t>114.71</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1</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63C1"/>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A03"/>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776"/>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26"/>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466"/>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66D"/>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6DD4"/>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0FDA"/>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0F0"/>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E8E"/>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21C"/>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3A1"/>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A3D"/>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BCC"/>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2FB"/>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4D6"/>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5DFF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2235</Words>
  <Characters>2460</Characters>
  <Lines>17</Lines>
  <Paragraphs>5</Paragraphs>
  <TotalTime>301</TotalTime>
  <ScaleCrop>false</ScaleCrop>
  <LinksUpToDate>false</LinksUpToDate>
  <CharactersWithSpaces>2465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2023-02-05T02:15:52Z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1BB5A21043F74AC3A522002EF1FD0089</vt:lpwstr>
  </property>
</Properties>
</file>