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北京市三帆中学</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（一）部门机构设置、职责</w:t>
      </w:r>
    </w:p>
    <w:p>
      <w:pPr>
        <w:spacing w:line="360" w:lineRule="auto"/>
        <w:rPr>
          <w:rFonts w:ascii="宋体" w:hAnsi="宋体" w:cs="宋体"/>
          <w:color w:val="000000"/>
          <w:sz w:val="28"/>
        </w:rPr>
      </w:pPr>
      <w:r>
        <w:rPr>
          <w:rFonts w:ascii="宋体" w:hAnsi="宋体" w:cs="宋体"/>
          <w:b/>
          <w:sz w:val="30"/>
        </w:rPr>
        <w:t>1、主要职能:</w:t>
      </w:r>
    </w:p>
    <w:p>
      <w:pPr>
        <w:spacing w:line="360" w:lineRule="auto"/>
        <w:ind w:firstLine="560"/>
        <w:rPr>
          <w:rFonts w:ascii="宋体" w:hAnsi="宋体" w:cs="宋体"/>
          <w:sz w:val="28"/>
        </w:rPr>
      </w:pPr>
      <w:r>
        <w:rPr>
          <w:rFonts w:ascii="宋体" w:hAnsi="宋体" w:cs="宋体"/>
          <w:color w:val="000000"/>
          <w:sz w:val="28"/>
        </w:rPr>
        <w:t>学校全面实施素质教育，以满足学生成长的需要，为学生将来做好准备作为工作的出发点。学校积极推进义务教育阶段课程改革，认真规范地落实国家课程和地方课程，大力开发校本课程，建立以基础型、丰富型、发展型和专长型四类课程为核心的课程体系。坚持“有效教学”的课堂教学理念，坚持师生双主体互动式的课堂教学方式，以学生为本，以强化基础知识和技能、培养创新精神和实践能力为重点，满足不同兴趣爱好、不同发展方向、不同层次的学生的</w:t>
      </w:r>
      <w:r>
        <w:rPr>
          <w:rFonts w:ascii="宋体" w:hAnsi="宋体" w:cs="宋体"/>
          <w:sz w:val="28"/>
        </w:rPr>
        <w:t>需求，促进学生全面而有个性地发展。</w:t>
      </w:r>
    </w:p>
    <w:p>
      <w:pPr>
        <w:spacing w:line="360" w:lineRule="auto"/>
        <w:rPr>
          <w:rFonts w:ascii="宋体" w:hAnsi="宋体" w:cs="宋体"/>
          <w:sz w:val="28"/>
        </w:rPr>
      </w:pPr>
    </w:p>
    <w:p>
      <w:pPr>
        <w:rPr>
          <w:rFonts w:ascii="宋体" w:hAnsi="宋体" w:cs="宋体"/>
          <w:sz w:val="28"/>
        </w:rPr>
      </w:pPr>
      <w:r>
        <w:rPr>
          <w:rFonts w:ascii="宋体" w:hAnsi="宋体" w:cs="宋体"/>
          <w:b/>
          <w:sz w:val="28"/>
        </w:rPr>
        <w:t>2、机构情况:</w:t>
      </w:r>
    </w:p>
    <w:p>
      <w:pPr>
        <w:spacing w:line="360" w:lineRule="auto"/>
        <w:ind w:firstLine="700"/>
        <w:rPr>
          <w:rFonts w:ascii="Calibri" w:hAnsi="Calibri" w:eastAsia="Calibri" w:cs="Calibri"/>
          <w:b/>
          <w:sz w:val="28"/>
        </w:rPr>
      </w:pPr>
      <w:r>
        <w:rPr>
          <w:rFonts w:ascii="宋体" w:hAnsi="宋体" w:cs="宋体"/>
          <w:sz w:val="28"/>
        </w:rPr>
        <w:t>2023年，我校分两址办学，两校址分别为三帆新风街校区和裕中校区，</w:t>
      </w:r>
      <w:r>
        <w:rPr>
          <w:rFonts w:ascii="宋体" w:hAnsi="宋体" w:cs="宋体"/>
          <w:sz w:val="28"/>
          <w:shd w:val="clear" w:color="auto" w:fill="FFFFFF"/>
        </w:rPr>
        <w:t>学校拥有一支在市区初中学校中首屈一指的教师队伍。三帆中学师资来源有着得天独厚的优势，教师绝大部分毕业于北京师范大学，均具备大学本科以上学历，其中具有研究生学历的教师占绝大部分。</w:t>
      </w:r>
      <w:r>
        <w:rPr>
          <w:rFonts w:ascii="宋体" w:hAnsi="宋体" w:cs="宋体"/>
          <w:sz w:val="28"/>
        </w:rPr>
        <w:t>开设教学班67个,在校学生</w:t>
      </w:r>
      <w:r>
        <w:rPr>
          <w:rFonts w:ascii="Calibri" w:hAnsi="Calibri" w:eastAsia="Calibri" w:cs="Calibri"/>
          <w:sz w:val="28"/>
        </w:rPr>
        <w:t>2633</w:t>
      </w:r>
      <w:r>
        <w:rPr>
          <w:rFonts w:ascii="宋体" w:hAnsi="宋体" w:cs="宋体"/>
          <w:sz w:val="28"/>
        </w:rPr>
        <w:t>人。</w:t>
      </w:r>
    </w:p>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w:t>
      </w:r>
      <w:r>
        <w:rPr>
          <w:rFonts w:ascii="仿宋" w:hAnsi="仿宋" w:eastAsia="仿宋"/>
          <w:color w:val="000000"/>
          <w:sz w:val="32"/>
          <w:szCs w:val="32"/>
        </w:rPr>
        <w:t>113</w:t>
      </w:r>
      <w:r>
        <w:rPr>
          <w:rFonts w:hint="eastAsia" w:ascii="仿宋" w:hAnsi="仿宋" w:eastAsia="仿宋"/>
          <w:color w:val="000000"/>
          <w:sz w:val="32"/>
          <w:szCs w:val="32"/>
        </w:rPr>
        <w:t>人，实际在册教职工119人，离休2人，退休130人。学生2619人，其中：职高0人，高中0人，初中2633人，小学0人，特殊教育0人，学前教育0人。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2023年收入预算10195.76万元，比2022年年初</w:t>
      </w:r>
      <w:r>
        <w:rPr>
          <w:rFonts w:ascii="仿宋" w:hAnsi="仿宋" w:eastAsia="仿宋"/>
          <w:color w:val="000000"/>
          <w:sz w:val="32"/>
          <w:szCs w:val="32"/>
        </w:rPr>
        <w:t>预算</w:t>
      </w:r>
      <w:r>
        <w:rPr>
          <w:rFonts w:hint="eastAsia" w:ascii="仿宋" w:hAnsi="仿宋" w:eastAsia="仿宋"/>
          <w:color w:val="000000"/>
          <w:sz w:val="32"/>
          <w:szCs w:val="32"/>
        </w:rPr>
        <w:t>6351.39万元增加3844.37万元，增长60.53%，主要原因是教师和学生数增多以及项目的增加，且金额较大。其中：本年财政拨款收入</w:t>
      </w:r>
      <w:r>
        <w:rPr>
          <w:rFonts w:ascii="仿宋" w:hAnsi="仿宋" w:eastAsia="仿宋"/>
          <w:color w:val="000000"/>
          <w:sz w:val="32"/>
          <w:szCs w:val="32"/>
        </w:rPr>
        <w:t>10195.76</w:t>
      </w:r>
      <w:r>
        <w:rPr>
          <w:rFonts w:hint="eastAsia" w:ascii="仿宋" w:hAnsi="仿宋" w:eastAsia="仿宋"/>
          <w:color w:val="000000"/>
          <w:sz w:val="32"/>
          <w:szCs w:val="32"/>
        </w:rPr>
        <w:t>万元,比2022年年初预算6351.39万元增加3844.37万元，增长60。53%。2023年支出预算10195.76万元，比2022年年初</w:t>
      </w:r>
      <w:r>
        <w:rPr>
          <w:rFonts w:ascii="仿宋" w:hAnsi="仿宋" w:eastAsia="仿宋"/>
          <w:color w:val="000000"/>
          <w:sz w:val="32"/>
          <w:szCs w:val="32"/>
        </w:rPr>
        <w:t>预算</w:t>
      </w:r>
      <w:r>
        <w:rPr>
          <w:rFonts w:hint="eastAsia" w:ascii="仿宋" w:hAnsi="仿宋" w:eastAsia="仿宋"/>
          <w:color w:val="000000"/>
          <w:sz w:val="32"/>
          <w:szCs w:val="32"/>
        </w:rPr>
        <w:t>6351.39万元增加3844.37万元，增长60.53%。</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w:t>
      </w:r>
      <w:r>
        <w:rPr>
          <w:rFonts w:hint="eastAsia" w:ascii="仿宋" w:hAnsi="仿宋" w:eastAsia="仿宋"/>
          <w:color w:val="000000"/>
          <w:sz w:val="32"/>
          <w:szCs w:val="32"/>
        </w:rPr>
        <w:t>10195.76万元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基本支出预算5542.88万元，较去年年初</w:t>
      </w:r>
      <w:r>
        <w:rPr>
          <w:rFonts w:ascii="仿宋" w:hAnsi="仿宋" w:eastAsia="仿宋"/>
          <w:color w:val="000000"/>
          <w:sz w:val="32"/>
          <w:szCs w:val="32"/>
        </w:rPr>
        <w:t>预算</w:t>
      </w:r>
      <w:r>
        <w:rPr>
          <w:rFonts w:hint="eastAsia" w:ascii="仿宋" w:hAnsi="仿宋" w:eastAsia="仿宋"/>
          <w:color w:val="000000"/>
          <w:sz w:val="32"/>
          <w:szCs w:val="32"/>
        </w:rPr>
        <w:t>4550.48</w:t>
      </w:r>
      <w:r>
        <w:rPr>
          <w:rFonts w:hint="eastAsia" w:ascii="仿宋" w:hAnsi="仿宋" w:eastAsia="仿宋"/>
          <w:color w:val="000000"/>
          <w:sz w:val="32"/>
          <w:szCs w:val="32"/>
          <w:lang w:val="en-US" w:eastAsia="zh-CN"/>
        </w:rPr>
        <w:t>万</w:t>
      </w:r>
      <w:r>
        <w:rPr>
          <w:rFonts w:hint="eastAsia" w:ascii="仿宋" w:hAnsi="仿宋" w:eastAsia="仿宋"/>
          <w:color w:val="000000"/>
          <w:sz w:val="32"/>
          <w:szCs w:val="32"/>
        </w:rPr>
        <w:t>元增加992.4</w:t>
      </w:r>
      <w:r>
        <w:rPr>
          <w:rFonts w:hint="eastAsia" w:ascii="仿宋" w:hAnsi="仿宋" w:eastAsia="仿宋"/>
          <w:color w:val="000000"/>
          <w:sz w:val="32"/>
          <w:szCs w:val="32"/>
          <w:lang w:val="en-US" w:eastAsia="zh-CN"/>
        </w:rPr>
        <w:t>万</w:t>
      </w:r>
      <w:r>
        <w:rPr>
          <w:rFonts w:hint="eastAsia" w:ascii="仿宋" w:hAnsi="仿宋" w:eastAsia="仿宋"/>
          <w:color w:val="000000"/>
          <w:sz w:val="32"/>
          <w:szCs w:val="32"/>
        </w:rPr>
        <w:t>元，主要原因是教师和学生人数增长；项目支出预算4652.88万元，较去年年初</w:t>
      </w:r>
      <w:r>
        <w:rPr>
          <w:rFonts w:ascii="仿宋" w:hAnsi="仿宋" w:eastAsia="仿宋"/>
          <w:color w:val="000000"/>
          <w:sz w:val="32"/>
          <w:szCs w:val="32"/>
        </w:rPr>
        <w:t>预算</w:t>
      </w:r>
      <w:r>
        <w:rPr>
          <w:rFonts w:hint="eastAsia" w:ascii="仿宋" w:hAnsi="仿宋" w:eastAsia="仿宋"/>
          <w:color w:val="000000"/>
          <w:sz w:val="32"/>
          <w:szCs w:val="32"/>
        </w:rPr>
        <w:t>1800.92</w:t>
      </w:r>
      <w:r>
        <w:rPr>
          <w:rFonts w:hint="eastAsia" w:ascii="仿宋" w:hAnsi="仿宋" w:eastAsia="仿宋"/>
          <w:color w:val="000000"/>
          <w:sz w:val="32"/>
          <w:szCs w:val="32"/>
          <w:lang w:val="en-US" w:eastAsia="zh-CN"/>
        </w:rPr>
        <w:t>万</w:t>
      </w:r>
      <w:r>
        <w:rPr>
          <w:rFonts w:hint="eastAsia" w:ascii="仿宋" w:hAnsi="仿宋" w:eastAsia="仿宋"/>
          <w:color w:val="000000"/>
          <w:sz w:val="32"/>
          <w:szCs w:val="32"/>
        </w:rPr>
        <w:t>元增加2851.97</w:t>
      </w:r>
      <w:r>
        <w:rPr>
          <w:rFonts w:hint="eastAsia" w:ascii="仿宋" w:hAnsi="仿宋" w:eastAsia="仿宋"/>
          <w:color w:val="000000"/>
          <w:sz w:val="32"/>
          <w:szCs w:val="32"/>
          <w:lang w:val="en-US" w:eastAsia="zh-CN"/>
        </w:rPr>
        <w:t>万</w:t>
      </w:r>
      <w:bookmarkStart w:id="1" w:name="_GoBack"/>
      <w:bookmarkEnd w:id="1"/>
      <w:r>
        <w:rPr>
          <w:rFonts w:hint="eastAsia" w:ascii="仿宋" w:hAnsi="仿宋" w:eastAsia="仿宋"/>
          <w:color w:val="000000"/>
          <w:sz w:val="32"/>
          <w:szCs w:val="32"/>
        </w:rPr>
        <w:t>元，主要原因是增加了两个房租项目，且金额较大。</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我单位的公用经费预算按照北京市财政局和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》的规定执行。2023年部门预算“三公”经费财政拨款预算安排2.7万元，较2022年年初预算</w:t>
      </w:r>
      <w:r>
        <w:rPr>
          <w:rFonts w:ascii="仿宋" w:hAnsi="仿宋" w:eastAsia="仿宋"/>
          <w:color w:val="000000"/>
          <w:sz w:val="32"/>
          <w:szCs w:val="32"/>
        </w:rPr>
        <w:t>2.7</w:t>
      </w:r>
      <w:r>
        <w:rPr>
          <w:rFonts w:hint="eastAsia" w:ascii="仿宋" w:hAnsi="仿宋" w:eastAsia="仿宋"/>
          <w:color w:val="000000"/>
          <w:sz w:val="32"/>
          <w:szCs w:val="32"/>
        </w:rPr>
        <w:t>万元减少0万元。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3.公务用车购置及运行维护费：2023年公务用车数量为1辆，财政拨款预算安排</w:t>
      </w:r>
      <w:r>
        <w:rPr>
          <w:rFonts w:ascii="仿宋" w:hAnsi="仿宋" w:eastAsia="仿宋"/>
          <w:color w:val="000000"/>
          <w:sz w:val="32"/>
          <w:szCs w:val="32"/>
        </w:rPr>
        <w:t>2.7</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ascii="仿宋" w:hAnsi="仿宋" w:eastAsia="仿宋"/>
          <w:color w:val="000000"/>
          <w:sz w:val="32"/>
          <w:szCs w:val="32"/>
        </w:rPr>
        <w:t>2.7</w:t>
      </w:r>
      <w:r>
        <w:rPr>
          <w:rFonts w:hint="eastAsia" w:ascii="仿宋" w:hAnsi="仿宋" w:eastAsia="仿宋"/>
          <w:color w:val="000000"/>
          <w:sz w:val="32"/>
          <w:szCs w:val="32"/>
        </w:rPr>
        <w:t>万元，较2022年年初预算2.7万元减少</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2023年涉及政府采购项目1个，预算资金108.08万元。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ascii="仿宋" w:hAnsi="仿宋" w:eastAsia="仿宋"/>
          <w:color w:val="000000"/>
          <w:sz w:val="32"/>
          <w:szCs w:val="32"/>
        </w:rPr>
        <w:t>16</w:t>
      </w:r>
      <w:r>
        <w:rPr>
          <w:rFonts w:hint="eastAsia" w:ascii="仿宋" w:hAnsi="仿宋" w:eastAsia="仿宋"/>
          <w:color w:val="000000"/>
          <w:sz w:val="32"/>
          <w:szCs w:val="32"/>
        </w:rPr>
        <w:t>项，占总项目数额的100%以上，100万元以上项目共计</w:t>
      </w:r>
      <w:r>
        <w:rPr>
          <w:rFonts w:ascii="仿宋" w:hAnsi="仿宋" w:eastAsia="仿宋"/>
          <w:color w:val="000000"/>
          <w:sz w:val="32"/>
          <w:szCs w:val="32"/>
        </w:rPr>
        <w:t>8</w:t>
      </w:r>
      <w:r>
        <w:rPr>
          <w:rFonts w:hint="eastAsia" w:ascii="仿宋" w:hAnsi="仿宋" w:eastAsia="仿宋"/>
          <w:color w:val="000000"/>
          <w:sz w:val="32"/>
          <w:szCs w:val="32"/>
        </w:rPr>
        <w:t>个，涉及金额</w:t>
      </w:r>
      <w:r>
        <w:rPr>
          <w:rFonts w:ascii="仿宋" w:hAnsi="仿宋" w:eastAsia="仿宋"/>
          <w:color w:val="000000"/>
          <w:sz w:val="32"/>
          <w:szCs w:val="32"/>
        </w:rPr>
        <w:t>4652.88</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w:t>
      </w:r>
      <w:r>
        <w:rPr>
          <w:rFonts w:hint="eastAsia" w:ascii="仿宋" w:hAnsi="仿宋" w:eastAsia="仿宋"/>
          <w:color w:val="000000"/>
          <w:sz w:val="32"/>
          <w:szCs w:val="32"/>
        </w:rPr>
        <w:t>5488.38万元</w:t>
      </w:r>
      <w:r>
        <w:rPr>
          <w:rFonts w:ascii="仿宋" w:hAnsi="仿宋" w:eastAsia="仿宋"/>
          <w:color w:val="000000"/>
          <w:sz w:val="32"/>
          <w:szCs w:val="32"/>
        </w:rPr>
        <w:t>，其中：</w:t>
      </w:r>
      <w:r>
        <w:rPr>
          <w:rFonts w:hint="eastAsia" w:ascii="仿宋" w:hAnsi="仿宋" w:eastAsia="仿宋"/>
          <w:color w:val="000000"/>
          <w:sz w:val="32"/>
          <w:szCs w:val="32"/>
        </w:rPr>
        <w:t>车辆1台</w:t>
      </w:r>
      <w:r>
        <w:rPr>
          <w:rFonts w:ascii="仿宋" w:hAnsi="仿宋" w:eastAsia="仿宋"/>
          <w:color w:val="000000"/>
          <w:sz w:val="32"/>
          <w:szCs w:val="32"/>
        </w:rPr>
        <w:t>，</w:t>
      </w:r>
      <w:r>
        <w:rPr>
          <w:rFonts w:hint="eastAsia" w:ascii="仿宋" w:hAnsi="仿宋" w:eastAsia="仿宋"/>
          <w:color w:val="000000"/>
          <w:sz w:val="32"/>
          <w:szCs w:val="32"/>
        </w:rPr>
        <w:t>15.6万元；单位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设备2</w:t>
      </w:r>
      <w:r>
        <w:rPr>
          <w:rFonts w:hint="eastAsia" w:ascii="仿宋" w:hAnsi="仿宋" w:eastAsia="仿宋"/>
          <w:color w:val="000000"/>
          <w:sz w:val="32"/>
          <w:szCs w:val="32"/>
        </w:rPr>
        <w:t>台（套）、</w:t>
      </w:r>
      <w:r>
        <w:rPr>
          <w:rFonts w:ascii="仿宋" w:hAnsi="仿宋" w:eastAsia="仿宋"/>
          <w:color w:val="000000"/>
          <w:sz w:val="32"/>
          <w:szCs w:val="32"/>
        </w:rPr>
        <w:t>266.58</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设备0</w:t>
      </w:r>
      <w:r>
        <w:rPr>
          <w:rFonts w:hint="eastAsia" w:ascii="仿宋" w:hAnsi="仿宋" w:eastAsia="仿宋"/>
          <w:color w:val="000000"/>
          <w:sz w:val="32"/>
          <w:szCs w:val="32"/>
        </w:rPr>
        <w:t>台（套）、0万元。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rPr>
        <w:t>0台（套）、0万元，安排购置单位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rPr>
        <w:t>0台（套）、0万元。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Microsoft YaHei UI"/>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5</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2MjYwYjYwYWIxYzgxMDY2Mjc3OTkyNTcwMGZlMTc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B1B"/>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002"/>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32B"/>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3CC0"/>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AF3"/>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4C4"/>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5DF"/>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52B"/>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0CC4"/>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5E"/>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B0D"/>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332"/>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73"/>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899"/>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CD9"/>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34E"/>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57B72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2009</Words>
  <Characters>2249</Characters>
  <Lines>16</Lines>
  <Paragraphs>4</Paragraphs>
  <TotalTime>232</TotalTime>
  <ScaleCrop>false</ScaleCrop>
  <LinksUpToDate>false</LinksUpToDate>
  <CharactersWithSpaces>2250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18901</cp:lastModifiedBy>
  <dcterms:modified xsi:type="dcterms:W3CDTF">2023-02-04T06:30:22Z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8AC79F17DEAA4EAB83A03EABF72675C4</vt:lpwstr>
  </property>
</Properties>
</file>