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215BDE"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北京启喑实验学校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BA369F" w:rsidRPr="007B56C0" w:rsidRDefault="00BA369F" w:rsidP="00BA369F">
      <w:pPr>
        <w:snapToGrid w:val="0"/>
        <w:spacing w:line="52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本单位机构设置、主要职责：</w:t>
      </w:r>
      <w:r w:rsidRPr="00801D3C">
        <w:rPr>
          <w:rFonts w:ascii="仿宋_GB2312" w:eastAsia="仿宋_GB2312" w:hAnsi="仿宋" w:hint="eastAsia"/>
          <w:sz w:val="32"/>
          <w:szCs w:val="32"/>
        </w:rPr>
        <w:t>北京启喑实验学校是一所全日制，集学前教育，义务教育，高中学历教育和职业高中教育的完全特殊教育学校，学校占地8700平方米，建筑面积23994平方米。学生来自北京及全国各地。现有</w:t>
      </w:r>
      <w:r>
        <w:rPr>
          <w:rFonts w:ascii="仿宋_GB2312" w:eastAsia="仿宋_GB2312" w:hAnsi="仿宋" w:hint="eastAsia"/>
          <w:sz w:val="32"/>
          <w:szCs w:val="32"/>
        </w:rPr>
        <w:t>23</w:t>
      </w:r>
      <w:r w:rsidRPr="00801D3C">
        <w:rPr>
          <w:rFonts w:ascii="仿宋_GB2312" w:eastAsia="仿宋_GB2312" w:hAnsi="仿宋" w:hint="eastAsia"/>
          <w:sz w:val="32"/>
          <w:szCs w:val="32"/>
        </w:rPr>
        <w:t>个教学班，11</w:t>
      </w:r>
      <w:r>
        <w:rPr>
          <w:rFonts w:ascii="仿宋_GB2312" w:eastAsia="仿宋_GB2312" w:hAnsi="仿宋" w:hint="eastAsia"/>
          <w:sz w:val="32"/>
          <w:szCs w:val="32"/>
        </w:rPr>
        <w:t>9</w:t>
      </w:r>
      <w:r w:rsidRPr="00801D3C">
        <w:rPr>
          <w:rFonts w:ascii="仿宋_GB2312" w:eastAsia="仿宋_GB2312" w:hAnsi="仿宋" w:hint="eastAsia"/>
          <w:sz w:val="32"/>
          <w:szCs w:val="32"/>
        </w:rPr>
        <w:t>名在岗教职工，担负着</w:t>
      </w:r>
      <w:r>
        <w:rPr>
          <w:rFonts w:ascii="仿宋_GB2312" w:eastAsia="仿宋_GB2312" w:hAnsi="仿宋" w:hint="eastAsia"/>
          <w:sz w:val="32"/>
          <w:szCs w:val="32"/>
        </w:rPr>
        <w:t>126</w:t>
      </w:r>
      <w:r w:rsidRPr="00801D3C">
        <w:rPr>
          <w:rFonts w:ascii="仿宋_GB2312" w:eastAsia="仿宋_GB2312" w:hAnsi="仿宋" w:hint="eastAsia"/>
          <w:sz w:val="32"/>
          <w:szCs w:val="32"/>
        </w:rPr>
        <w:t>名聋人孩子的教育生活。</w:t>
      </w:r>
    </w:p>
    <w:p w:rsidR="00BA369F" w:rsidRPr="00BA369F" w:rsidRDefault="00BA369F"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15BDE">
        <w:rPr>
          <w:rFonts w:ascii="仿宋" w:eastAsia="仿宋" w:hAnsi="仿宋"/>
          <w:color w:val="000000"/>
          <w:sz w:val="32"/>
          <w:szCs w:val="32"/>
        </w:rPr>
        <w:t>121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15BDE">
        <w:rPr>
          <w:rFonts w:ascii="仿宋" w:eastAsia="仿宋" w:hAnsi="仿宋"/>
          <w:color w:val="000000"/>
          <w:sz w:val="32"/>
          <w:szCs w:val="32"/>
        </w:rPr>
        <w:t>119</w:t>
      </w:r>
      <w:r w:rsidR="00360E39" w:rsidRPr="00AC2580">
        <w:rPr>
          <w:rFonts w:ascii="仿宋" w:eastAsia="仿宋" w:hAnsi="仿宋" w:hint="eastAsia"/>
          <w:color w:val="000000"/>
          <w:sz w:val="32"/>
          <w:szCs w:val="32"/>
        </w:rPr>
        <w:t>人，离休</w:t>
      </w:r>
      <w:r w:rsidR="00215BDE">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215BDE">
        <w:rPr>
          <w:rFonts w:ascii="仿宋" w:eastAsia="仿宋" w:hAnsi="仿宋"/>
          <w:color w:val="000000"/>
          <w:sz w:val="32"/>
          <w:szCs w:val="32"/>
        </w:rPr>
        <w:t>93</w:t>
      </w:r>
      <w:r w:rsidR="00360E39" w:rsidRPr="00AC2580">
        <w:rPr>
          <w:rFonts w:ascii="仿宋" w:eastAsia="仿宋" w:hAnsi="仿宋" w:hint="eastAsia"/>
          <w:color w:val="000000"/>
          <w:sz w:val="32"/>
          <w:szCs w:val="32"/>
        </w:rPr>
        <w:t>人。学生</w:t>
      </w:r>
      <w:r w:rsidR="00215BDE">
        <w:rPr>
          <w:rFonts w:ascii="仿宋" w:eastAsia="仿宋" w:hAnsi="仿宋"/>
          <w:color w:val="000000"/>
          <w:sz w:val="32"/>
          <w:szCs w:val="32"/>
        </w:rPr>
        <w:t>294</w:t>
      </w:r>
      <w:r w:rsidR="00360E39" w:rsidRPr="00AC2580">
        <w:rPr>
          <w:rFonts w:ascii="仿宋" w:eastAsia="仿宋" w:hAnsi="仿宋" w:hint="eastAsia"/>
          <w:color w:val="000000"/>
          <w:sz w:val="32"/>
          <w:szCs w:val="32"/>
        </w:rPr>
        <w:t>人，其中：职高</w:t>
      </w:r>
      <w:r w:rsidR="00215BDE">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215BDE">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215BDE">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215BDE">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215BDE">
        <w:rPr>
          <w:rFonts w:ascii="仿宋" w:eastAsia="仿宋" w:hAnsi="仿宋"/>
          <w:color w:val="000000"/>
          <w:sz w:val="32"/>
          <w:szCs w:val="32"/>
        </w:rPr>
        <w:t>126</w:t>
      </w:r>
      <w:r w:rsidR="00360E39" w:rsidRPr="00AC2580">
        <w:rPr>
          <w:rFonts w:ascii="仿宋" w:eastAsia="仿宋" w:hAnsi="仿宋" w:hint="eastAsia"/>
          <w:color w:val="000000"/>
          <w:sz w:val="32"/>
          <w:szCs w:val="32"/>
        </w:rPr>
        <w:t>人，学前教育</w:t>
      </w:r>
      <w:r w:rsidR="00215BDE">
        <w:rPr>
          <w:rFonts w:ascii="仿宋" w:eastAsia="仿宋" w:hAnsi="仿宋"/>
          <w:color w:val="000000"/>
          <w:sz w:val="32"/>
          <w:szCs w:val="32"/>
        </w:rPr>
        <w:t>168</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476759" w:rsidRPr="00476759">
        <w:rPr>
          <w:rFonts w:ascii="仿宋" w:eastAsia="仿宋" w:hAnsi="仿宋"/>
          <w:color w:val="000000"/>
          <w:sz w:val="32"/>
          <w:szCs w:val="32"/>
        </w:rPr>
        <w:t>5,700.45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76759" w:rsidRPr="00476759">
        <w:rPr>
          <w:rFonts w:ascii="仿宋" w:eastAsia="仿宋" w:hAnsi="仿宋"/>
          <w:color w:val="000000"/>
          <w:sz w:val="32"/>
          <w:szCs w:val="32"/>
        </w:rPr>
        <w:t>4,955.68</w:t>
      </w:r>
      <w:r w:rsidR="00AF695C" w:rsidRPr="00AC2580">
        <w:rPr>
          <w:rFonts w:ascii="仿宋" w:eastAsia="仿宋" w:hAnsi="仿宋" w:hint="eastAsia"/>
          <w:color w:val="000000"/>
          <w:sz w:val="32"/>
          <w:szCs w:val="32"/>
        </w:rPr>
        <w:t>万元增加</w:t>
      </w:r>
      <w:r w:rsidR="00476759" w:rsidRPr="00476759">
        <w:rPr>
          <w:rFonts w:ascii="仿宋" w:eastAsia="仿宋" w:hAnsi="仿宋"/>
          <w:color w:val="000000"/>
          <w:sz w:val="32"/>
          <w:szCs w:val="32"/>
        </w:rPr>
        <w:t>744.77</w:t>
      </w:r>
      <w:r w:rsidR="00AF695C" w:rsidRPr="00AC2580">
        <w:rPr>
          <w:rFonts w:ascii="仿宋" w:eastAsia="仿宋" w:hAnsi="仿宋" w:hint="eastAsia"/>
          <w:color w:val="000000"/>
          <w:sz w:val="32"/>
          <w:szCs w:val="32"/>
        </w:rPr>
        <w:t>万元，增长</w:t>
      </w:r>
      <w:r w:rsidR="00476759" w:rsidRPr="00476759">
        <w:rPr>
          <w:rFonts w:ascii="仿宋" w:eastAsia="仿宋" w:hAnsi="仿宋"/>
          <w:color w:val="000000"/>
          <w:sz w:val="32"/>
          <w:szCs w:val="32"/>
        </w:rPr>
        <w:t>15.03%</w:t>
      </w:r>
      <w:r w:rsidR="00CF3F1E" w:rsidRPr="00AC2580">
        <w:rPr>
          <w:rFonts w:ascii="仿宋" w:eastAsia="仿宋" w:hAnsi="仿宋" w:hint="eastAsia"/>
          <w:color w:val="000000"/>
          <w:sz w:val="32"/>
          <w:szCs w:val="32"/>
        </w:rPr>
        <w:t>，主要原因是</w:t>
      </w:r>
      <w:r w:rsidR="00476759">
        <w:rPr>
          <w:rFonts w:ascii="仿宋" w:eastAsia="仿宋" w:hAnsi="仿宋" w:hint="eastAsia"/>
          <w:color w:val="000000"/>
          <w:sz w:val="32"/>
          <w:szCs w:val="32"/>
        </w:rPr>
        <w:t>本年度有开设</w:t>
      </w:r>
      <w:r w:rsidR="00476759">
        <w:rPr>
          <w:rFonts w:ascii="仿宋" w:eastAsia="仿宋" w:hAnsi="仿宋"/>
          <w:color w:val="000000"/>
          <w:sz w:val="32"/>
          <w:szCs w:val="32"/>
        </w:rPr>
        <w:t>附属幼儿园</w:t>
      </w:r>
      <w:r w:rsidR="00476759">
        <w:rPr>
          <w:rFonts w:ascii="仿宋" w:eastAsia="仿宋" w:hAnsi="仿宋" w:hint="eastAsia"/>
          <w:color w:val="000000"/>
          <w:sz w:val="32"/>
          <w:szCs w:val="32"/>
        </w:rPr>
        <w:t>,</w:t>
      </w:r>
      <w:r w:rsidR="00476759">
        <w:rPr>
          <w:rFonts w:ascii="仿宋" w:eastAsia="仿宋" w:hAnsi="仿宋"/>
          <w:color w:val="000000"/>
          <w:sz w:val="32"/>
          <w:szCs w:val="32"/>
        </w:rPr>
        <w:t>人员公用有所增长</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476759" w:rsidRPr="00476759">
        <w:rPr>
          <w:rFonts w:ascii="仿宋" w:eastAsia="仿宋" w:hAnsi="仿宋"/>
          <w:color w:val="000000"/>
          <w:sz w:val="32"/>
          <w:szCs w:val="32"/>
        </w:rPr>
        <w:t>5,700.45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476759" w:rsidRPr="00476759">
        <w:rPr>
          <w:rFonts w:ascii="仿宋" w:eastAsia="仿宋" w:hAnsi="仿宋"/>
          <w:color w:val="000000"/>
          <w:sz w:val="32"/>
          <w:szCs w:val="32"/>
        </w:rPr>
        <w:t>4,955.68</w:t>
      </w:r>
      <w:r w:rsidR="00AF695C" w:rsidRPr="00AC2580">
        <w:rPr>
          <w:rFonts w:ascii="仿宋" w:eastAsia="仿宋" w:hAnsi="仿宋" w:hint="eastAsia"/>
          <w:color w:val="000000"/>
          <w:sz w:val="32"/>
          <w:szCs w:val="32"/>
        </w:rPr>
        <w:t>万元</w:t>
      </w:r>
      <w:r w:rsidR="00476759" w:rsidRPr="00AC2580">
        <w:rPr>
          <w:rFonts w:ascii="仿宋" w:eastAsia="仿宋" w:hAnsi="仿宋" w:hint="eastAsia"/>
          <w:color w:val="000000"/>
          <w:sz w:val="32"/>
          <w:szCs w:val="32"/>
        </w:rPr>
        <w:t>增加</w:t>
      </w:r>
      <w:r w:rsidR="00476759" w:rsidRPr="00476759">
        <w:rPr>
          <w:rFonts w:ascii="仿宋" w:eastAsia="仿宋" w:hAnsi="仿宋"/>
          <w:color w:val="000000"/>
          <w:sz w:val="32"/>
          <w:szCs w:val="32"/>
        </w:rPr>
        <w:t>744.77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w:t>
      </w:r>
      <w:r w:rsidR="00476759" w:rsidRPr="00AC2580">
        <w:rPr>
          <w:rFonts w:ascii="仿宋" w:eastAsia="仿宋" w:hAnsi="仿宋" w:hint="eastAsia"/>
          <w:color w:val="000000"/>
          <w:sz w:val="32"/>
          <w:szCs w:val="32"/>
        </w:rPr>
        <w:t>增长</w:t>
      </w:r>
      <w:r w:rsidR="00476759" w:rsidRPr="00476759">
        <w:rPr>
          <w:rFonts w:ascii="仿宋" w:eastAsia="仿宋" w:hAnsi="仿宋"/>
          <w:color w:val="000000"/>
          <w:sz w:val="32"/>
          <w:szCs w:val="32"/>
        </w:rPr>
        <w:t>15.03%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476759" w:rsidRPr="00476759">
        <w:rPr>
          <w:rFonts w:ascii="仿宋" w:eastAsia="仿宋" w:hAnsi="仿宋"/>
          <w:color w:val="000000"/>
          <w:sz w:val="32"/>
          <w:szCs w:val="32"/>
        </w:rPr>
        <w:t>5,700.45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76759" w:rsidRPr="00476759">
        <w:rPr>
          <w:rFonts w:ascii="仿宋" w:eastAsia="仿宋" w:hAnsi="仿宋"/>
          <w:color w:val="000000"/>
          <w:sz w:val="32"/>
          <w:szCs w:val="32"/>
        </w:rPr>
        <w:t>4,955.68</w:t>
      </w:r>
      <w:r w:rsidR="00F21086" w:rsidRPr="00AC2580">
        <w:rPr>
          <w:rFonts w:ascii="仿宋" w:eastAsia="仿宋" w:hAnsi="仿宋" w:hint="eastAsia"/>
          <w:color w:val="000000"/>
          <w:sz w:val="32"/>
          <w:szCs w:val="32"/>
        </w:rPr>
        <w:t>万元</w:t>
      </w:r>
      <w:r w:rsidR="00476759" w:rsidRPr="00AC2580">
        <w:rPr>
          <w:rFonts w:ascii="仿宋" w:eastAsia="仿宋" w:hAnsi="仿宋" w:hint="eastAsia"/>
          <w:color w:val="000000"/>
          <w:sz w:val="32"/>
          <w:szCs w:val="32"/>
        </w:rPr>
        <w:t>增加</w:t>
      </w:r>
      <w:r w:rsidR="00476759" w:rsidRPr="00476759">
        <w:rPr>
          <w:rFonts w:ascii="仿宋" w:eastAsia="仿宋" w:hAnsi="仿宋"/>
          <w:color w:val="000000"/>
          <w:sz w:val="32"/>
          <w:szCs w:val="32"/>
        </w:rPr>
        <w:t>744.77</w:t>
      </w:r>
      <w:r w:rsidR="00F21086" w:rsidRPr="00AC2580">
        <w:rPr>
          <w:rFonts w:ascii="仿宋" w:eastAsia="仿宋" w:hAnsi="仿宋" w:hint="eastAsia"/>
          <w:color w:val="000000"/>
          <w:sz w:val="32"/>
          <w:szCs w:val="32"/>
        </w:rPr>
        <w:t>万元，增长</w:t>
      </w:r>
      <w:r w:rsidR="00476759">
        <w:rPr>
          <w:rFonts w:ascii="仿宋" w:eastAsia="仿宋" w:hAnsi="仿宋"/>
          <w:color w:val="000000"/>
          <w:sz w:val="32"/>
          <w:szCs w:val="32"/>
        </w:rPr>
        <w:t>15.03</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5C7C2F" w:rsidRPr="005C7C2F">
        <w:rPr>
          <w:rFonts w:ascii="仿宋" w:eastAsia="仿宋" w:hAnsi="仿宋"/>
          <w:color w:val="000000"/>
          <w:sz w:val="32"/>
          <w:szCs w:val="32"/>
        </w:rPr>
        <w:t>5,700.45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5C7C2F" w:rsidRPr="005C7C2F">
        <w:rPr>
          <w:rFonts w:ascii="仿宋" w:eastAsia="仿宋" w:hAnsi="仿宋"/>
          <w:color w:val="000000"/>
          <w:sz w:val="32"/>
          <w:szCs w:val="32"/>
        </w:rPr>
        <w:t>5,281.55</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D00EA4" w:rsidRPr="00D00EA4">
        <w:rPr>
          <w:rFonts w:ascii="仿宋" w:eastAsia="仿宋" w:hAnsi="仿宋"/>
          <w:color w:val="000000"/>
          <w:sz w:val="32"/>
          <w:szCs w:val="32"/>
        </w:rPr>
        <w:t>4,634.47</w:t>
      </w:r>
      <w:r w:rsidR="00D00EA4"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C7C2F" w:rsidRPr="005C7C2F">
        <w:rPr>
          <w:rFonts w:ascii="仿宋" w:eastAsia="仿宋" w:hAnsi="仿宋"/>
          <w:color w:val="000000"/>
          <w:sz w:val="32"/>
          <w:szCs w:val="32"/>
        </w:rPr>
        <w:t>647.08</w:t>
      </w:r>
      <w:r w:rsidR="00D00EA4"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C7C2F">
        <w:rPr>
          <w:rFonts w:ascii="仿宋" w:eastAsia="仿宋" w:hAnsi="仿宋" w:hint="eastAsia"/>
          <w:color w:val="000000"/>
          <w:sz w:val="32"/>
          <w:szCs w:val="32"/>
        </w:rPr>
        <w:t>本年度有开设</w:t>
      </w:r>
      <w:r w:rsidR="005C7C2F">
        <w:rPr>
          <w:rFonts w:ascii="仿宋" w:eastAsia="仿宋" w:hAnsi="仿宋"/>
          <w:color w:val="000000"/>
          <w:sz w:val="32"/>
          <w:szCs w:val="32"/>
        </w:rPr>
        <w:t>附属幼儿园</w:t>
      </w:r>
      <w:r w:rsidR="005C7C2F">
        <w:rPr>
          <w:rFonts w:ascii="仿宋" w:eastAsia="仿宋" w:hAnsi="仿宋" w:hint="eastAsia"/>
          <w:color w:val="000000"/>
          <w:sz w:val="32"/>
          <w:szCs w:val="32"/>
        </w:rPr>
        <w:t>,</w:t>
      </w:r>
      <w:r w:rsidR="005C7C2F">
        <w:rPr>
          <w:rFonts w:ascii="仿宋" w:eastAsia="仿宋" w:hAnsi="仿宋"/>
          <w:color w:val="000000"/>
          <w:sz w:val="32"/>
          <w:szCs w:val="32"/>
        </w:rPr>
        <w:t>人员公用有所增长</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5C7C2F" w:rsidRPr="005C7C2F">
        <w:rPr>
          <w:rFonts w:ascii="仿宋" w:eastAsia="仿宋" w:hAnsi="仿宋"/>
          <w:color w:val="000000"/>
          <w:sz w:val="32"/>
          <w:szCs w:val="32"/>
        </w:rPr>
        <w:t>418.90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5C7C2F" w:rsidRPr="005C7C2F">
        <w:rPr>
          <w:rFonts w:ascii="仿宋" w:eastAsia="仿宋" w:hAnsi="仿宋"/>
          <w:color w:val="000000"/>
          <w:sz w:val="32"/>
          <w:szCs w:val="32"/>
        </w:rPr>
        <w:t>321.20</w:t>
      </w:r>
      <w:r w:rsidR="00D00EA4"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5C7C2F" w:rsidRPr="005C7C2F">
        <w:rPr>
          <w:rFonts w:ascii="仿宋" w:eastAsia="仿宋" w:hAnsi="仿宋"/>
          <w:color w:val="000000"/>
          <w:sz w:val="32"/>
          <w:szCs w:val="32"/>
        </w:rPr>
        <w:t>97.70</w:t>
      </w:r>
      <w:r w:rsidR="00D00EA4"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5C7C2F">
        <w:rPr>
          <w:rFonts w:ascii="仿宋" w:eastAsia="仿宋" w:hAnsi="仿宋" w:hint="eastAsia"/>
          <w:color w:val="000000"/>
          <w:sz w:val="32"/>
          <w:szCs w:val="32"/>
        </w:rPr>
        <w:t>本年度有开设</w:t>
      </w:r>
      <w:r w:rsidR="005C7C2F">
        <w:rPr>
          <w:rFonts w:ascii="仿宋" w:eastAsia="仿宋" w:hAnsi="仿宋"/>
          <w:color w:val="000000"/>
          <w:sz w:val="32"/>
          <w:szCs w:val="32"/>
        </w:rPr>
        <w:t>附属幼儿园</w:t>
      </w:r>
      <w:r w:rsidR="005C7C2F">
        <w:rPr>
          <w:rFonts w:ascii="仿宋" w:eastAsia="仿宋" w:hAnsi="仿宋" w:hint="eastAsia"/>
          <w:color w:val="000000"/>
          <w:sz w:val="32"/>
          <w:szCs w:val="32"/>
        </w:rPr>
        <w:t>,项目经费</w:t>
      </w:r>
      <w:r w:rsidR="005C7C2F">
        <w:rPr>
          <w:rFonts w:ascii="仿宋" w:eastAsia="仿宋" w:hAnsi="仿宋"/>
          <w:color w:val="000000"/>
          <w:sz w:val="32"/>
          <w:szCs w:val="32"/>
        </w:rPr>
        <w:t>有所增长</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5C7C2F"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北京启喑实验学校</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sidRPr="005C7C2F">
        <w:rPr>
          <w:rFonts w:ascii="仿宋" w:eastAsia="仿宋" w:hAnsi="仿宋"/>
          <w:color w:val="000000"/>
          <w:sz w:val="32"/>
          <w:szCs w:val="32"/>
        </w:rPr>
        <w:t>2.70</w:t>
      </w:r>
      <w:r w:rsidR="00F41D4E" w:rsidRPr="00AC2580">
        <w:rPr>
          <w:rFonts w:ascii="仿宋" w:eastAsia="仿宋" w:hAnsi="仿宋" w:hint="eastAsia"/>
          <w:color w:val="000000"/>
          <w:sz w:val="32"/>
          <w:szCs w:val="32"/>
        </w:rPr>
        <w:t>万元，</w:t>
      </w:r>
      <w:bookmarkStart w:id="1" w:name="_GoBack"/>
      <w:bookmarkEnd w:id="1"/>
      <w:r w:rsidR="00F41D4E" w:rsidRPr="00AC2580">
        <w:rPr>
          <w:rFonts w:ascii="仿宋" w:eastAsia="仿宋" w:hAnsi="仿宋" w:hint="eastAsia"/>
          <w:color w:val="000000"/>
          <w:sz w:val="32"/>
          <w:szCs w:val="32"/>
        </w:rPr>
        <w:t>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sidRPr="005C7C2F">
        <w:rPr>
          <w:rFonts w:ascii="仿宋" w:eastAsia="仿宋" w:hAnsi="仿宋"/>
          <w:color w:val="000000"/>
          <w:sz w:val="32"/>
          <w:szCs w:val="32"/>
        </w:rPr>
        <w:t>2.70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5C7C2F">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5C7C2F" w:rsidRPr="005C7C2F">
        <w:rPr>
          <w:rFonts w:ascii="仿宋" w:eastAsia="仿宋" w:hAnsi="仿宋"/>
          <w:color w:val="000000"/>
          <w:sz w:val="32"/>
          <w:szCs w:val="32"/>
        </w:rPr>
        <w:t>2.70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5C7C2F" w:rsidRPr="005C7C2F">
        <w:rPr>
          <w:rFonts w:ascii="仿宋" w:eastAsia="仿宋" w:hAnsi="仿宋"/>
          <w:color w:val="000000"/>
          <w:sz w:val="32"/>
          <w:szCs w:val="32"/>
        </w:rPr>
        <w:t>2.70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5C7C2F" w:rsidRPr="005C7C2F">
        <w:rPr>
          <w:rFonts w:ascii="仿宋" w:eastAsia="仿宋" w:hAnsi="仿宋"/>
          <w:color w:val="000000"/>
          <w:sz w:val="32"/>
          <w:szCs w:val="32"/>
        </w:rPr>
        <w:t>2.70</w:t>
      </w:r>
      <w:r w:rsidRPr="00AC2580">
        <w:rPr>
          <w:rFonts w:ascii="仿宋" w:eastAsia="仿宋" w:hAnsi="仿宋" w:hint="eastAsia"/>
          <w:color w:val="000000"/>
          <w:sz w:val="32"/>
          <w:szCs w:val="32"/>
        </w:rPr>
        <w:t>万元减少</w:t>
      </w:r>
      <w:r w:rsidR="005C7C2F">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A100DF">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A100DF" w:rsidRPr="00A100DF">
        <w:rPr>
          <w:rFonts w:ascii="仿宋" w:eastAsia="仿宋" w:hAnsi="仿宋"/>
          <w:color w:val="000000"/>
          <w:sz w:val="32"/>
          <w:szCs w:val="32"/>
        </w:rPr>
        <w:t>69.672870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A100DF">
        <w:rPr>
          <w:rFonts w:ascii="仿宋" w:eastAsia="仿宋" w:hAnsi="仿宋"/>
          <w:color w:val="000000"/>
          <w:sz w:val="32"/>
          <w:szCs w:val="32"/>
        </w:rPr>
        <w:t>1</w:t>
      </w:r>
      <w:r w:rsidR="00545D6C" w:rsidRPr="00AC2580">
        <w:rPr>
          <w:rFonts w:ascii="仿宋" w:eastAsia="仿宋" w:hAnsi="仿宋" w:hint="eastAsia"/>
          <w:color w:val="000000"/>
          <w:sz w:val="32"/>
          <w:szCs w:val="32"/>
        </w:rPr>
        <w:t>项，占总项目数额的</w:t>
      </w:r>
      <w:r w:rsidR="00A100DF">
        <w:rPr>
          <w:rFonts w:ascii="仿宋" w:eastAsia="仿宋" w:hAnsi="仿宋"/>
          <w:color w:val="000000"/>
          <w:sz w:val="32"/>
          <w:szCs w:val="32"/>
        </w:rPr>
        <w:t>86</w:t>
      </w:r>
      <w:r w:rsidR="00545D6C" w:rsidRPr="00AC2580">
        <w:rPr>
          <w:rFonts w:ascii="仿宋" w:eastAsia="仿宋" w:hAnsi="仿宋" w:hint="eastAsia"/>
          <w:color w:val="000000"/>
          <w:sz w:val="32"/>
          <w:szCs w:val="32"/>
        </w:rPr>
        <w:t>%以上，100万元以上项目共计</w:t>
      </w:r>
      <w:r w:rsidR="00A100DF">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A100DF" w:rsidRPr="00A100DF">
        <w:rPr>
          <w:rFonts w:ascii="仿宋" w:eastAsia="仿宋" w:hAnsi="仿宋"/>
          <w:color w:val="000000"/>
          <w:sz w:val="32"/>
          <w:szCs w:val="32"/>
        </w:rPr>
        <w:t>121.968400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A100DF" w:rsidRPr="00A100DF">
        <w:rPr>
          <w:rFonts w:ascii="仿宋" w:eastAsia="仿宋" w:hAnsi="仿宋"/>
          <w:color w:val="000000"/>
          <w:sz w:val="32"/>
          <w:szCs w:val="32"/>
        </w:rPr>
        <w:t>3,681.71</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A100DF">
        <w:rPr>
          <w:rFonts w:ascii="仿宋" w:eastAsia="仿宋" w:hAnsi="仿宋"/>
          <w:color w:val="000000"/>
          <w:sz w:val="32"/>
          <w:szCs w:val="32"/>
        </w:rPr>
        <w:t>1</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A100DF">
        <w:rPr>
          <w:rFonts w:ascii="仿宋_GB2312" w:eastAsia="仿宋_GB2312" w:hint="eastAsia"/>
          <w:color w:val="000000"/>
          <w:sz w:val="32"/>
          <w:szCs w:val="32"/>
        </w:rPr>
        <w:t>13.53</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100DF">
        <w:rPr>
          <w:rFonts w:ascii="仿宋" w:eastAsia="仿宋" w:hAnsi="仿宋"/>
          <w:color w:val="000000"/>
          <w:sz w:val="32"/>
          <w:szCs w:val="32"/>
        </w:rPr>
        <w:t>0</w:t>
      </w:r>
      <w:r w:rsidRPr="00AC2580">
        <w:rPr>
          <w:rFonts w:ascii="仿宋" w:eastAsia="仿宋" w:hAnsi="仿宋" w:hint="eastAsia"/>
          <w:color w:val="000000"/>
          <w:sz w:val="32"/>
          <w:szCs w:val="32"/>
        </w:rPr>
        <w:t>台（套）、</w:t>
      </w:r>
      <w:r w:rsidR="00A100DF">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100DF">
        <w:rPr>
          <w:rFonts w:ascii="仿宋" w:eastAsia="仿宋" w:hAnsi="仿宋"/>
          <w:color w:val="000000"/>
          <w:sz w:val="32"/>
          <w:szCs w:val="32"/>
        </w:rPr>
        <w:t>0</w:t>
      </w:r>
      <w:r w:rsidRPr="00AC2580">
        <w:rPr>
          <w:rFonts w:ascii="仿宋" w:eastAsia="仿宋" w:hAnsi="仿宋" w:hint="eastAsia"/>
          <w:color w:val="000000"/>
          <w:sz w:val="32"/>
          <w:szCs w:val="32"/>
        </w:rPr>
        <w:t>台（套）、</w:t>
      </w:r>
      <w:r w:rsidR="00A100DF">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100DF">
        <w:rPr>
          <w:rFonts w:ascii="仿宋" w:eastAsia="仿宋" w:hAnsi="仿宋"/>
          <w:color w:val="000000"/>
          <w:sz w:val="32"/>
          <w:szCs w:val="32"/>
        </w:rPr>
        <w:t>0</w:t>
      </w:r>
      <w:r w:rsidRPr="00AC2580">
        <w:rPr>
          <w:rFonts w:ascii="仿宋" w:eastAsia="仿宋" w:hAnsi="仿宋" w:hint="eastAsia"/>
          <w:color w:val="000000"/>
          <w:sz w:val="32"/>
          <w:szCs w:val="32"/>
        </w:rPr>
        <w:t>台（套）、</w:t>
      </w:r>
      <w:r w:rsidR="00A100DF">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100DF">
        <w:rPr>
          <w:rFonts w:ascii="仿宋" w:eastAsia="仿宋" w:hAnsi="仿宋"/>
          <w:color w:val="000000"/>
          <w:sz w:val="32"/>
          <w:szCs w:val="32"/>
        </w:rPr>
        <w:t>0</w:t>
      </w:r>
      <w:r w:rsidRPr="00AC2580">
        <w:rPr>
          <w:rFonts w:ascii="仿宋" w:eastAsia="仿宋" w:hAnsi="仿宋" w:hint="eastAsia"/>
          <w:color w:val="000000"/>
          <w:sz w:val="32"/>
          <w:szCs w:val="32"/>
        </w:rPr>
        <w:t>台（套）、</w:t>
      </w:r>
      <w:r w:rsidR="00A100DF">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sidRPr="00AC2580">
        <w:rPr>
          <w:rFonts w:ascii="仿宋" w:eastAsia="仿宋" w:hAnsi="仿宋" w:hint="eastAsia"/>
          <w:color w:val="000000"/>
          <w:sz w:val="32"/>
          <w:szCs w:val="32"/>
        </w:rPr>
        <w:lastRenderedPageBreak/>
        <w:t>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02F" w:rsidRDefault="0066702F" w:rsidP="00AF695C">
      <w:r>
        <w:separator/>
      </w:r>
    </w:p>
  </w:endnote>
  <w:endnote w:type="continuationSeparator" w:id="0">
    <w:p w:rsidR="0066702F" w:rsidRDefault="0066702F"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BA369F" w:rsidRPr="00BA369F">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02F" w:rsidRDefault="0066702F" w:rsidP="00AF695C">
      <w:r>
        <w:separator/>
      </w:r>
    </w:p>
  </w:footnote>
  <w:footnote w:type="continuationSeparator" w:id="0">
    <w:p w:rsidR="0066702F" w:rsidRDefault="0066702F"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092"/>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DE"/>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BA8"/>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759"/>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C2F"/>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2F"/>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57C"/>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0DF"/>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369F"/>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0EA4"/>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53D"/>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B428"/>
  <w15:docId w15:val="{623DFAFC-762A-47D0-8419-FD0890B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0392">
      <w:bodyDiv w:val="1"/>
      <w:marLeft w:val="0"/>
      <w:marRight w:val="0"/>
      <w:marTop w:val="0"/>
      <w:marBottom w:val="0"/>
      <w:divBdr>
        <w:top w:val="none" w:sz="0" w:space="0" w:color="auto"/>
        <w:left w:val="none" w:sz="0" w:space="0" w:color="auto"/>
        <w:bottom w:val="none" w:sz="0" w:space="0" w:color="auto"/>
        <w:right w:val="none" w:sz="0" w:space="0" w:color="auto"/>
      </w:divBdr>
    </w:div>
    <w:div w:id="103691954">
      <w:bodyDiv w:val="1"/>
      <w:marLeft w:val="0"/>
      <w:marRight w:val="0"/>
      <w:marTop w:val="0"/>
      <w:marBottom w:val="0"/>
      <w:divBdr>
        <w:top w:val="none" w:sz="0" w:space="0" w:color="auto"/>
        <w:left w:val="none" w:sz="0" w:space="0" w:color="auto"/>
        <w:bottom w:val="none" w:sz="0" w:space="0" w:color="auto"/>
        <w:right w:val="none" w:sz="0" w:space="0" w:color="auto"/>
      </w:divBdr>
    </w:div>
    <w:div w:id="147596413">
      <w:bodyDiv w:val="1"/>
      <w:marLeft w:val="0"/>
      <w:marRight w:val="0"/>
      <w:marTop w:val="0"/>
      <w:marBottom w:val="0"/>
      <w:divBdr>
        <w:top w:val="none" w:sz="0" w:space="0" w:color="auto"/>
        <w:left w:val="none" w:sz="0" w:space="0" w:color="auto"/>
        <w:bottom w:val="none" w:sz="0" w:space="0" w:color="auto"/>
        <w:right w:val="none" w:sz="0" w:space="0" w:color="auto"/>
      </w:divBdr>
    </w:div>
    <w:div w:id="149754353">
      <w:bodyDiv w:val="1"/>
      <w:marLeft w:val="0"/>
      <w:marRight w:val="0"/>
      <w:marTop w:val="0"/>
      <w:marBottom w:val="0"/>
      <w:divBdr>
        <w:top w:val="none" w:sz="0" w:space="0" w:color="auto"/>
        <w:left w:val="none" w:sz="0" w:space="0" w:color="auto"/>
        <w:bottom w:val="none" w:sz="0" w:space="0" w:color="auto"/>
        <w:right w:val="none" w:sz="0" w:space="0" w:color="auto"/>
      </w:divBdr>
    </w:div>
    <w:div w:id="210196715">
      <w:bodyDiv w:val="1"/>
      <w:marLeft w:val="0"/>
      <w:marRight w:val="0"/>
      <w:marTop w:val="0"/>
      <w:marBottom w:val="0"/>
      <w:divBdr>
        <w:top w:val="none" w:sz="0" w:space="0" w:color="auto"/>
        <w:left w:val="none" w:sz="0" w:space="0" w:color="auto"/>
        <w:bottom w:val="none" w:sz="0" w:space="0" w:color="auto"/>
        <w:right w:val="none" w:sz="0" w:space="0" w:color="auto"/>
      </w:divBdr>
    </w:div>
    <w:div w:id="307175526">
      <w:bodyDiv w:val="1"/>
      <w:marLeft w:val="0"/>
      <w:marRight w:val="0"/>
      <w:marTop w:val="0"/>
      <w:marBottom w:val="0"/>
      <w:divBdr>
        <w:top w:val="none" w:sz="0" w:space="0" w:color="auto"/>
        <w:left w:val="none" w:sz="0" w:space="0" w:color="auto"/>
        <w:bottom w:val="none" w:sz="0" w:space="0" w:color="auto"/>
        <w:right w:val="none" w:sz="0" w:space="0" w:color="auto"/>
      </w:divBdr>
    </w:div>
    <w:div w:id="415710994">
      <w:bodyDiv w:val="1"/>
      <w:marLeft w:val="0"/>
      <w:marRight w:val="0"/>
      <w:marTop w:val="0"/>
      <w:marBottom w:val="0"/>
      <w:divBdr>
        <w:top w:val="none" w:sz="0" w:space="0" w:color="auto"/>
        <w:left w:val="none" w:sz="0" w:space="0" w:color="auto"/>
        <w:bottom w:val="none" w:sz="0" w:space="0" w:color="auto"/>
        <w:right w:val="none" w:sz="0" w:space="0" w:color="auto"/>
      </w:divBdr>
    </w:div>
    <w:div w:id="645864862">
      <w:bodyDiv w:val="1"/>
      <w:marLeft w:val="0"/>
      <w:marRight w:val="0"/>
      <w:marTop w:val="0"/>
      <w:marBottom w:val="0"/>
      <w:divBdr>
        <w:top w:val="none" w:sz="0" w:space="0" w:color="auto"/>
        <w:left w:val="none" w:sz="0" w:space="0" w:color="auto"/>
        <w:bottom w:val="none" w:sz="0" w:space="0" w:color="auto"/>
        <w:right w:val="none" w:sz="0" w:space="0" w:color="auto"/>
      </w:divBdr>
    </w:div>
    <w:div w:id="917134421">
      <w:bodyDiv w:val="1"/>
      <w:marLeft w:val="0"/>
      <w:marRight w:val="0"/>
      <w:marTop w:val="0"/>
      <w:marBottom w:val="0"/>
      <w:divBdr>
        <w:top w:val="none" w:sz="0" w:space="0" w:color="auto"/>
        <w:left w:val="none" w:sz="0" w:space="0" w:color="auto"/>
        <w:bottom w:val="none" w:sz="0" w:space="0" w:color="auto"/>
        <w:right w:val="none" w:sz="0" w:space="0" w:color="auto"/>
      </w:divBdr>
    </w:div>
    <w:div w:id="1070428056">
      <w:bodyDiv w:val="1"/>
      <w:marLeft w:val="0"/>
      <w:marRight w:val="0"/>
      <w:marTop w:val="0"/>
      <w:marBottom w:val="0"/>
      <w:divBdr>
        <w:top w:val="none" w:sz="0" w:space="0" w:color="auto"/>
        <w:left w:val="none" w:sz="0" w:space="0" w:color="auto"/>
        <w:bottom w:val="none" w:sz="0" w:space="0" w:color="auto"/>
        <w:right w:val="none" w:sz="0" w:space="0" w:color="auto"/>
      </w:divBdr>
    </w:div>
    <w:div w:id="1512332684">
      <w:bodyDiv w:val="1"/>
      <w:marLeft w:val="0"/>
      <w:marRight w:val="0"/>
      <w:marTop w:val="0"/>
      <w:marBottom w:val="0"/>
      <w:divBdr>
        <w:top w:val="none" w:sz="0" w:space="0" w:color="auto"/>
        <w:left w:val="none" w:sz="0" w:space="0" w:color="auto"/>
        <w:bottom w:val="none" w:sz="0" w:space="0" w:color="auto"/>
        <w:right w:val="none" w:sz="0" w:space="0" w:color="auto"/>
      </w:divBdr>
    </w:div>
    <w:div w:id="1552496930">
      <w:bodyDiv w:val="1"/>
      <w:marLeft w:val="0"/>
      <w:marRight w:val="0"/>
      <w:marTop w:val="0"/>
      <w:marBottom w:val="0"/>
      <w:divBdr>
        <w:top w:val="none" w:sz="0" w:space="0" w:color="auto"/>
        <w:left w:val="none" w:sz="0" w:space="0" w:color="auto"/>
        <w:bottom w:val="none" w:sz="0" w:space="0" w:color="auto"/>
        <w:right w:val="none" w:sz="0" w:space="0" w:color="auto"/>
      </w:divBdr>
    </w:div>
    <w:div w:id="1586063193">
      <w:bodyDiv w:val="1"/>
      <w:marLeft w:val="0"/>
      <w:marRight w:val="0"/>
      <w:marTop w:val="0"/>
      <w:marBottom w:val="0"/>
      <w:divBdr>
        <w:top w:val="none" w:sz="0" w:space="0" w:color="auto"/>
        <w:left w:val="none" w:sz="0" w:space="0" w:color="auto"/>
        <w:bottom w:val="none" w:sz="0" w:space="0" w:color="auto"/>
        <w:right w:val="none" w:sz="0" w:space="0" w:color="auto"/>
      </w:divBdr>
    </w:div>
    <w:div w:id="1588344301">
      <w:bodyDiv w:val="1"/>
      <w:marLeft w:val="0"/>
      <w:marRight w:val="0"/>
      <w:marTop w:val="0"/>
      <w:marBottom w:val="0"/>
      <w:divBdr>
        <w:top w:val="none" w:sz="0" w:space="0" w:color="auto"/>
        <w:left w:val="none" w:sz="0" w:space="0" w:color="auto"/>
        <w:bottom w:val="none" w:sz="0" w:space="0" w:color="auto"/>
        <w:right w:val="none" w:sz="0" w:space="0" w:color="auto"/>
      </w:divBdr>
    </w:div>
    <w:div w:id="1683051938">
      <w:bodyDiv w:val="1"/>
      <w:marLeft w:val="0"/>
      <w:marRight w:val="0"/>
      <w:marTop w:val="0"/>
      <w:marBottom w:val="0"/>
      <w:divBdr>
        <w:top w:val="none" w:sz="0" w:space="0" w:color="auto"/>
        <w:left w:val="none" w:sz="0" w:space="0" w:color="auto"/>
        <w:bottom w:val="none" w:sz="0" w:space="0" w:color="auto"/>
        <w:right w:val="none" w:sz="0" w:space="0" w:color="auto"/>
      </w:divBdr>
    </w:div>
    <w:div w:id="1721243296">
      <w:bodyDiv w:val="1"/>
      <w:marLeft w:val="0"/>
      <w:marRight w:val="0"/>
      <w:marTop w:val="0"/>
      <w:marBottom w:val="0"/>
      <w:divBdr>
        <w:top w:val="none" w:sz="0" w:space="0" w:color="auto"/>
        <w:left w:val="none" w:sz="0" w:space="0" w:color="auto"/>
        <w:bottom w:val="none" w:sz="0" w:space="0" w:color="auto"/>
        <w:right w:val="none" w:sz="0" w:space="0" w:color="auto"/>
      </w:divBdr>
    </w:div>
    <w:div w:id="17753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310</Words>
  <Characters>1771</Characters>
  <Application>Microsoft Office Word</Application>
  <DocSecurity>0</DocSecurity>
  <Lines>14</Lines>
  <Paragraphs>4</Paragraphs>
  <ScaleCrop>false</ScaleCrop>
  <Company>微软中国</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PC</cp:lastModifiedBy>
  <cp:revision>22</cp:revision>
  <dcterms:created xsi:type="dcterms:W3CDTF">2022-01-10T07:29:00Z</dcterms:created>
  <dcterms:modified xsi:type="dcterms:W3CDTF">2023-02-03T10:14:00Z</dcterms:modified>
</cp:coreProperties>
</file>