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北京市和平门中学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本单位设有两室三处：党政办公室、教科研办公室、德育处、教学教务处及后勤处。主要职责为：</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党政办公室：</w:t>
      </w:r>
      <w:r>
        <w:rPr>
          <w:rFonts w:hint="eastAsia" w:ascii="仿宋" w:hAnsi="仿宋" w:eastAsia="仿宋"/>
          <w:sz w:val="32"/>
          <w:szCs w:val="32"/>
        </w:rPr>
        <w:t>在校长、书记领导下，负责学校党政日常办公事务、外事工作、内外宾联络接待、校园对外宣传管理、共建单位联系以及行政档案工作。</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教科研办公室：在校长直接领导下，负责组织和管理全校的教育科研等工作</w:t>
      </w:r>
      <w:r>
        <w:rPr>
          <w:rFonts w:hint="eastAsia" w:ascii="仿宋" w:hAnsi="仿宋" w:eastAsia="仿宋" w:cs="宋体"/>
          <w:sz w:val="32"/>
          <w:szCs w:val="32"/>
        </w:rPr>
        <w:t>和学术委员会具体工作</w:t>
      </w:r>
      <w:r>
        <w:rPr>
          <w:rFonts w:hint="eastAsia" w:ascii="仿宋" w:hAnsi="仿宋" w:eastAsia="仿宋"/>
          <w:color w:val="000000"/>
          <w:sz w:val="32"/>
          <w:szCs w:val="32"/>
        </w:rPr>
        <w:t>的职能部门。</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德育处：在德育主管校长领导下，负责学生的思想道德教育和管理职能的机构。</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教学教务处：在教学主管校长领导下，负责招生和学生学籍管理及教学工作保障，负责组织和管理全校的教学、教研等工作的职能部门。</w:t>
      </w:r>
    </w:p>
    <w:p>
      <w:pPr>
        <w:shd w:val="clear" w:color="auto" w:fill="FFFFFF"/>
        <w:adjustRightInd w:val="0"/>
        <w:snapToGrid w:val="0"/>
        <w:spacing w:line="560" w:lineRule="exact"/>
        <w:ind w:firstLine="640" w:firstLineChars="200"/>
        <w:rPr>
          <w:rFonts w:ascii="仿宋" w:hAnsi="仿宋" w:eastAsia="仿宋"/>
          <w:sz w:val="32"/>
          <w:szCs w:val="32"/>
          <w:highlight w:val="yellow"/>
        </w:rPr>
      </w:pPr>
      <w:r>
        <w:rPr>
          <w:rFonts w:hint="eastAsia" w:ascii="仿宋" w:hAnsi="仿宋" w:eastAsia="仿宋"/>
          <w:color w:val="000000"/>
          <w:sz w:val="32"/>
          <w:szCs w:val="32"/>
        </w:rPr>
        <w:t>后勤处：后勤处是</w:t>
      </w:r>
      <w:r>
        <w:rPr>
          <w:rFonts w:hint="eastAsia" w:ascii="仿宋" w:hAnsi="仿宋" w:eastAsia="仿宋" w:cs="宋体"/>
          <w:sz w:val="32"/>
          <w:szCs w:val="32"/>
        </w:rPr>
        <w:t>保证教学、教育工作正常开展的后勤工作部门，要树立主动为教学服务、为师生服务的思想，管好学校的校舍、设备和经费；协助餐饮公司办好校内食堂，协助保洁公司搞好校园环境卫生，配合学校卫生室做好校园的防疫、消毒工作。抓好校园绿化、美化工作以及其他临时性后勤服务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本单位事业编制36人，实际在册教职工36人，离休3人，退休148人。学生0人。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2023年收入预算2,413.3</w:t>
      </w:r>
      <w:r>
        <w:rPr>
          <w:rFonts w:ascii="仿宋" w:hAnsi="仿宋" w:eastAsia="仿宋"/>
          <w:color w:val="000000"/>
          <w:sz w:val="32"/>
          <w:szCs w:val="32"/>
        </w:rPr>
        <w:t>8</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rPr>
        <w:t>2313.95万元增加99.4</w:t>
      </w:r>
      <w:r>
        <w:rPr>
          <w:rFonts w:ascii="仿宋" w:hAnsi="仿宋" w:eastAsia="仿宋"/>
          <w:color w:val="000000"/>
          <w:sz w:val="32"/>
          <w:szCs w:val="32"/>
        </w:rPr>
        <w:t>3</w:t>
      </w:r>
      <w:r>
        <w:rPr>
          <w:rFonts w:hint="eastAsia" w:ascii="仿宋" w:hAnsi="仿宋" w:eastAsia="仿宋"/>
          <w:color w:val="000000"/>
          <w:sz w:val="32"/>
          <w:szCs w:val="32"/>
        </w:rPr>
        <w:t>万元，增长4.</w:t>
      </w:r>
      <w:r>
        <w:rPr>
          <w:rFonts w:ascii="仿宋" w:hAnsi="仿宋" w:eastAsia="仿宋"/>
          <w:color w:val="000000"/>
          <w:sz w:val="32"/>
          <w:szCs w:val="32"/>
        </w:rPr>
        <w:t>3</w:t>
      </w:r>
      <w:r>
        <w:rPr>
          <w:rFonts w:hint="eastAsia" w:ascii="仿宋" w:hAnsi="仿宋" w:eastAsia="仿宋"/>
          <w:color w:val="000000"/>
          <w:sz w:val="32"/>
          <w:szCs w:val="32"/>
        </w:rPr>
        <w:t>%，主要原因是增加了物业费和食堂管理经费的收入。其中：本年财政拨款收入2,413.3</w:t>
      </w:r>
      <w:r>
        <w:rPr>
          <w:rFonts w:ascii="仿宋" w:hAnsi="仿宋" w:eastAsia="仿宋"/>
          <w:color w:val="000000"/>
          <w:sz w:val="32"/>
          <w:szCs w:val="32"/>
        </w:rPr>
        <w:t>8</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rPr>
        <w:t>2313.95万元增加99.4</w:t>
      </w:r>
      <w:r>
        <w:rPr>
          <w:rFonts w:ascii="仿宋" w:hAnsi="仿宋" w:eastAsia="仿宋"/>
          <w:color w:val="000000"/>
          <w:sz w:val="32"/>
          <w:szCs w:val="32"/>
        </w:rPr>
        <w:t>3</w:t>
      </w:r>
      <w:r>
        <w:rPr>
          <w:rFonts w:hint="eastAsia" w:ascii="仿宋" w:hAnsi="仿宋" w:eastAsia="仿宋"/>
          <w:color w:val="000000"/>
          <w:sz w:val="32"/>
          <w:szCs w:val="32"/>
        </w:rPr>
        <w:t>万元，增长4.</w:t>
      </w:r>
      <w:r>
        <w:rPr>
          <w:rFonts w:ascii="仿宋" w:hAnsi="仿宋" w:eastAsia="仿宋"/>
          <w:color w:val="000000"/>
          <w:sz w:val="32"/>
          <w:szCs w:val="32"/>
        </w:rPr>
        <w:t>3</w:t>
      </w:r>
      <w:r>
        <w:rPr>
          <w:rFonts w:hint="eastAsia" w:ascii="仿宋" w:hAnsi="仿宋" w:eastAsia="仿宋"/>
          <w:color w:val="000000"/>
          <w:sz w:val="32"/>
          <w:szCs w:val="32"/>
        </w:rPr>
        <w:t>%。2023年支出预算2,413.3</w:t>
      </w:r>
      <w:r>
        <w:rPr>
          <w:rFonts w:ascii="仿宋" w:hAnsi="仿宋" w:eastAsia="仿宋"/>
          <w:color w:val="000000"/>
          <w:sz w:val="32"/>
          <w:szCs w:val="32"/>
        </w:rPr>
        <w:t>8</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rPr>
        <w:t>2313.95万元增加99.4</w:t>
      </w:r>
      <w:r>
        <w:rPr>
          <w:rFonts w:ascii="仿宋" w:hAnsi="仿宋" w:eastAsia="仿宋"/>
          <w:color w:val="000000"/>
          <w:sz w:val="32"/>
          <w:szCs w:val="32"/>
        </w:rPr>
        <w:t>3</w:t>
      </w:r>
      <w:r>
        <w:rPr>
          <w:rFonts w:hint="eastAsia" w:ascii="仿宋" w:hAnsi="仿宋" w:eastAsia="仿宋"/>
          <w:color w:val="000000"/>
          <w:sz w:val="32"/>
          <w:szCs w:val="32"/>
        </w:rPr>
        <w:t>万元，增长4.</w:t>
      </w:r>
      <w:r>
        <w:rPr>
          <w:rFonts w:ascii="仿宋" w:hAnsi="仿宋" w:eastAsia="仿宋"/>
          <w:color w:val="000000"/>
          <w:sz w:val="32"/>
          <w:szCs w:val="32"/>
        </w:rPr>
        <w:t>3</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中一般公共预算支出预算2413.38</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w:t>
      </w:r>
      <w:r>
        <w:rPr>
          <w:rFonts w:ascii="仿宋" w:hAnsi="仿宋" w:eastAsia="仿宋"/>
          <w:color w:val="000000"/>
          <w:sz w:val="32"/>
          <w:szCs w:val="32"/>
        </w:rPr>
        <w:t>2143.66</w:t>
      </w:r>
      <w:r>
        <w:rPr>
          <w:rFonts w:hint="eastAsia" w:ascii="仿宋" w:hAnsi="仿宋" w:eastAsia="仿宋"/>
          <w:color w:val="000000"/>
          <w:sz w:val="32"/>
          <w:szCs w:val="32"/>
        </w:rPr>
        <w:t>万元，比2022年年初</w:t>
      </w:r>
      <w:r>
        <w:rPr>
          <w:rFonts w:ascii="仿宋" w:hAnsi="仿宋" w:eastAsia="仿宋"/>
          <w:color w:val="000000"/>
          <w:sz w:val="32"/>
          <w:szCs w:val="32"/>
        </w:rPr>
        <w:t>预算2146.19</w:t>
      </w:r>
      <w:r>
        <w:rPr>
          <w:rFonts w:hint="eastAsia" w:ascii="仿宋" w:hAnsi="仿宋" w:eastAsia="仿宋"/>
          <w:color w:val="000000"/>
          <w:sz w:val="32"/>
          <w:szCs w:val="32"/>
        </w:rPr>
        <w:t>万元减少2</w:t>
      </w:r>
      <w:r>
        <w:rPr>
          <w:rFonts w:ascii="仿宋" w:hAnsi="仿宋" w:eastAsia="仿宋"/>
          <w:color w:val="000000"/>
          <w:sz w:val="32"/>
          <w:szCs w:val="32"/>
        </w:rPr>
        <w:t>.53</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.12%，主要原因是减少物业费支出；项目支出预算269.72万元，较去年年初</w:t>
      </w:r>
      <w:r>
        <w:rPr>
          <w:rFonts w:ascii="仿宋" w:hAnsi="仿宋" w:eastAsia="仿宋"/>
          <w:color w:val="000000"/>
          <w:sz w:val="32"/>
          <w:szCs w:val="32"/>
        </w:rPr>
        <w:t>预算</w:t>
      </w:r>
      <w:r>
        <w:rPr>
          <w:rFonts w:hint="eastAsia" w:ascii="仿宋" w:hAnsi="仿宋" w:eastAsia="仿宋"/>
          <w:color w:val="000000"/>
          <w:sz w:val="32"/>
          <w:szCs w:val="32"/>
        </w:rPr>
        <w:t>167.</w:t>
      </w:r>
      <w:r>
        <w:rPr>
          <w:rFonts w:ascii="仿宋" w:hAnsi="仿宋" w:eastAsia="仿宋"/>
          <w:color w:val="000000"/>
          <w:sz w:val="32"/>
          <w:szCs w:val="32"/>
        </w:rPr>
        <w:t>76</w:t>
      </w:r>
      <w:r>
        <w:rPr>
          <w:rFonts w:hint="eastAsia" w:ascii="仿宋" w:hAnsi="仿宋" w:eastAsia="仿宋"/>
          <w:color w:val="000000"/>
          <w:sz w:val="32"/>
          <w:szCs w:val="32"/>
        </w:rPr>
        <w:t>万元增加</w:t>
      </w:r>
      <w:r>
        <w:rPr>
          <w:rFonts w:ascii="仿宋" w:hAnsi="仿宋" w:eastAsia="仿宋"/>
          <w:color w:val="000000"/>
          <w:sz w:val="32"/>
          <w:szCs w:val="32"/>
        </w:rPr>
        <w:t>101.96</w:t>
      </w:r>
      <w:r>
        <w:rPr>
          <w:rFonts w:hint="eastAsia" w:ascii="仿宋" w:hAnsi="仿宋" w:eastAsia="仿宋"/>
          <w:color w:val="000000"/>
          <w:sz w:val="32"/>
          <w:szCs w:val="32"/>
        </w:rPr>
        <w:t>元，主要原因是增加了物业费。</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北京市和平门中学的公用经费预算按照北京市财政局和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3.公务用车购置及运行维护费：2023年公务用车数量为1辆，财政拨款预算安排2.7万元，其中公务用车购置费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2023年涉及政府采购项目4个，预算资金170.06万元。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4</w:t>
      </w:r>
      <w:r>
        <w:rPr>
          <w:rFonts w:hint="eastAsia" w:ascii="仿宋" w:hAnsi="仿宋" w:eastAsia="仿宋"/>
          <w:color w:val="000000"/>
          <w:sz w:val="32"/>
          <w:szCs w:val="32"/>
        </w:rPr>
        <w:t>项，占总项目数额的</w:t>
      </w:r>
      <w:r>
        <w:rPr>
          <w:rFonts w:ascii="仿宋" w:hAnsi="仿宋" w:eastAsia="仿宋"/>
          <w:color w:val="000000"/>
          <w:sz w:val="32"/>
          <w:szCs w:val="32"/>
        </w:rPr>
        <w:t>100</w:t>
      </w:r>
      <w:bookmarkStart w:id="1" w:name="_GoBack"/>
      <w:bookmarkEnd w:id="1"/>
      <w:r>
        <w:rPr>
          <w:rFonts w:hint="eastAsia" w:ascii="仿宋" w:hAnsi="仿宋" w:eastAsia="仿宋"/>
          <w:color w:val="000000"/>
          <w:sz w:val="32"/>
          <w:szCs w:val="32"/>
        </w:rPr>
        <w:t>%，100万元以上项目共计</w:t>
      </w:r>
      <w:r>
        <w:rPr>
          <w:rFonts w:ascii="仿宋" w:hAnsi="仿宋" w:eastAsia="仿宋"/>
          <w:color w:val="000000"/>
          <w:sz w:val="32"/>
          <w:szCs w:val="32"/>
        </w:rPr>
        <w:t>0</w:t>
      </w:r>
      <w:r>
        <w:rPr>
          <w:rFonts w:hint="eastAsia" w:ascii="仿宋" w:hAnsi="仿宋" w:eastAsia="仿宋"/>
          <w:color w:val="000000"/>
          <w:sz w:val="32"/>
          <w:szCs w:val="32"/>
        </w:rPr>
        <w:t>个，涉及金额0万元。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rPr>
        <w:t>30.81万元</w:t>
      </w:r>
      <w:r>
        <w:rPr>
          <w:rFonts w:ascii="仿宋" w:hAnsi="仿宋" w:eastAsia="仿宋"/>
          <w:color w:val="000000"/>
          <w:sz w:val="32"/>
          <w:szCs w:val="32"/>
        </w:rPr>
        <w:t>，其中：</w:t>
      </w:r>
      <w:r>
        <w:rPr>
          <w:rFonts w:hint="eastAsia" w:ascii="仿宋" w:hAnsi="仿宋" w:eastAsia="仿宋"/>
          <w:color w:val="000000"/>
          <w:sz w:val="32"/>
          <w:szCs w:val="32"/>
        </w:rPr>
        <w:t>车辆1台</w:t>
      </w:r>
      <w:r>
        <w:rPr>
          <w:rFonts w:ascii="仿宋" w:hAnsi="仿宋" w:eastAsia="仿宋"/>
          <w:color w:val="000000"/>
          <w:sz w:val="32"/>
          <w:szCs w:val="32"/>
        </w:rPr>
        <w:t>，</w:t>
      </w:r>
      <w:r>
        <w:rPr>
          <w:rFonts w:hint="eastAsia" w:ascii="仿宋" w:hAnsi="仿宋" w:eastAsia="仿宋"/>
          <w:color w:val="000000"/>
          <w:sz w:val="32"/>
          <w:szCs w:val="32"/>
        </w:rPr>
        <w:t>15.62万元；单位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0B72"/>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2DF9"/>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3CD"/>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37430"/>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5D"/>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094"/>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1E"/>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094"/>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92A"/>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4ED0"/>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9F2"/>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495F1EC5"/>
    <w:rsid w:val="577D4980"/>
    <w:rsid w:val="5F977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1968</Words>
  <Characters>2172</Characters>
  <Lines>15</Lines>
  <Paragraphs>4</Paragraphs>
  <TotalTime>24</TotalTime>
  <ScaleCrop>false</ScaleCrop>
  <LinksUpToDate>false</LinksUpToDate>
  <CharactersWithSpaces>2173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2023-02-05T03:27:56Z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F9A665D348A94407BCBD51CE9D95FD1C</vt:lpwstr>
  </property>
</Properties>
</file>