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E39" w:rsidRPr="0029520B" w:rsidRDefault="00217EDD"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北京小学</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E1353A" w:rsidRDefault="00E1353A" w:rsidP="00E135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北京小学设置学校办公室、教学处、德育处、总务处和寄宿部五个部门。各部门的职责：</w:t>
      </w:r>
    </w:p>
    <w:p w:rsidR="00E1353A" w:rsidRDefault="00E1353A" w:rsidP="00E1353A">
      <w:pPr>
        <w:numPr>
          <w:ilvl w:val="0"/>
          <w:numId w:val="1"/>
        </w:numPr>
        <w:adjustRightInd w:val="0"/>
        <w:snapToGrid w:val="0"/>
        <w:spacing w:line="560" w:lineRule="exact"/>
        <w:rPr>
          <w:rFonts w:ascii="仿宋_GB2312" w:eastAsia="仿宋_GB2312"/>
          <w:sz w:val="32"/>
          <w:szCs w:val="32"/>
        </w:rPr>
      </w:pPr>
      <w:r>
        <w:rPr>
          <w:rFonts w:ascii="仿宋_GB2312" w:eastAsia="仿宋_GB2312" w:hint="eastAsia"/>
          <w:sz w:val="32"/>
          <w:szCs w:val="32"/>
        </w:rPr>
        <w:t>学校办公室：</w:t>
      </w:r>
    </w:p>
    <w:p w:rsidR="00E1353A" w:rsidRDefault="00E1353A" w:rsidP="00E135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依据办学需要，规范教育教学常规管理，全面做好教育教学的相关服务；主持教导处的日常行政工作，做好教师继续教育的动员、计划、总结；编写下发家长通知等文件；对教工进行党风廉政、遵规守纪教育。</w:t>
      </w:r>
    </w:p>
    <w:p w:rsidR="00E1353A" w:rsidRDefault="00E1353A" w:rsidP="00E1353A">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教学处：</w:t>
      </w:r>
    </w:p>
    <w:p w:rsidR="00E1353A" w:rsidRDefault="00E1353A" w:rsidP="00E135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根据学校工作整体规划，制定教育教学计划，定期总结教学工作，引导教师按教育规律开展各种教学活动；落实国家三级课程规划，规范执行各级课程，进一步完善校本课程的开发与管理；关注课堂教学，落实学校课堂教学常规管理。做好课堂教学，作业管理等日常监控工作，组织教学常规检查；关注课堂教学研究、检查、监督，监控各种形式教研活动及外出教研情况，统筹安排各</w:t>
      </w:r>
      <w:proofErr w:type="gramStart"/>
      <w:r>
        <w:rPr>
          <w:rFonts w:ascii="仿宋_GB2312" w:eastAsia="仿宋_GB2312" w:hint="eastAsia"/>
          <w:sz w:val="32"/>
          <w:szCs w:val="32"/>
        </w:rPr>
        <w:t>学科做课及</w:t>
      </w:r>
      <w:proofErr w:type="gramEnd"/>
      <w:r>
        <w:rPr>
          <w:rFonts w:ascii="仿宋_GB2312" w:eastAsia="仿宋_GB2312" w:hint="eastAsia"/>
          <w:sz w:val="32"/>
          <w:szCs w:val="32"/>
        </w:rPr>
        <w:t>教学交流活动；关注教师专业成长，充分发挥教育教学指导委员会的作用，促进全体教师专业成长；做好与教学相关的资料收集工作，做好教学用书、资料、教具订购工作、管理及使用事项。</w:t>
      </w:r>
    </w:p>
    <w:p w:rsidR="00E1353A" w:rsidRDefault="00E1353A" w:rsidP="00E1353A">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德育处：</w:t>
      </w:r>
    </w:p>
    <w:p w:rsidR="00E1353A" w:rsidRDefault="00E1353A" w:rsidP="00E135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协助校长全面贯彻党的教育方针，以德育为先导，认真执行上级党组织和各级教育行政部门的指示，认真贯彻校党组织和行政决议；负责组织和领导学校德育教育工作，指导制定学期德育工作计划并监督检查执行情况，指导完成德育年度总结报告和各项活动情况统计，建立健全学校有关德育的规章制度和学生习惯养成培养目标，加强德育工作制度建设，不断完善德育各岗位工作职责和考核办法；负责学校班主任队伍建设，组织老师认真学习德育有关文件精神，不断转变教育观念和教育思想，遵守教育法律法规，指导、帮助班主任老师提高师德修养和专业能力，提醒和指导班主任老师认真做好学校的各项具体工作，促进班级个性化建设和班主任老师的综合发展。对班主任进行廉洁从教教育；深入了解学生，把握学生思想脉搏，有的放矢的对学生进行思想教育，发现问题，及时解决；指导学校少先队工作，指导大队辅导员组织好学校升旗、广播、少先队社团、红领巾志愿者等各项工作，提高少先队组织的教育功能；负责学校德育研究工作，指导班主任积极开展德育课题研究，不断总结德育工作经验，探索规律，积极创新，全面提高学校德育工作质量。组织指导班主任积极参加德育论文、健康案例、家校合作等方面的征文活动，促进班主任专业发展；负责制定市区三好生评选方案，组织指导班主任进行每学期的校、区、市三好生的评选、表彰和上报审核工作，安排落实三好生奖状的准备和下发工作。</w:t>
      </w:r>
    </w:p>
    <w:p w:rsidR="00E1353A" w:rsidRDefault="00E1353A" w:rsidP="00E1353A">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总务处：</w:t>
      </w:r>
    </w:p>
    <w:p w:rsidR="00E1353A" w:rsidRDefault="00E1353A" w:rsidP="00E135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根据学校的要求，制订每学期总务工作计划，搞好学校的基本建设，保证教学、办公及教师生活、工作、学习所具备条件；按时购买各种教学设备、仪器、教具、图书，购置体育、文艺、卫生医疗、办公、生活等方面的器材或用品，保证办公教学、学习和生活的正常进行；管理好学校财产，将公物损坏减少到最低限度。建立必要的总务规章制度，使公物从购入到使用都清楚明白。组织好登记、检查、保管、维修等工作；协助校长管理好学校基建工作。要根据学校的工作计划，组织做好经费的预算与决算、管理制度。贯彻勤俭办学方针，反对和防止贪污浪费，使学校经费使用恰当，能发挥最佳作用；搞好校容、校貌建设，保证师生有良好的教与学的环境；经常对保洁、维修等后勤工作人员进行思想教育，提高他们为教学服务、为师生服务的思想认识，使他们不断改善工作态度，提高服务质量。</w:t>
      </w:r>
    </w:p>
    <w:p w:rsidR="00E1353A" w:rsidRDefault="00E1353A" w:rsidP="00E1353A">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寄宿部：</w:t>
      </w:r>
    </w:p>
    <w:p w:rsidR="00E1353A" w:rsidRDefault="00E1353A" w:rsidP="00E135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组织管理寄宿生生活与教育工作。有目标、有计划、有组织的对寄宿生进行生活教育、思想教育和生活习惯的培养、训练工作。科学、合理地安排好住校生的学习、活动、接送、休息、睡眠、用餐、穿着、洗理、保健等工作。</w:t>
      </w:r>
    </w:p>
    <w:p w:rsidR="00E1353A" w:rsidRDefault="00E1353A" w:rsidP="00E135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加强对寄宿服务人员的思想教育工作，确立全心全意为家长和学生服务的思想。每学期安排好寄宿班副班主任及生活老师、晚课辅导教师的工作，有计划的做好招聘、指导、考核寄宿部工作人员的培训工作。对副班主任、生活老师进行党风廉政宣传教育。</w:t>
      </w:r>
    </w:p>
    <w:p w:rsidR="00E1353A" w:rsidRDefault="00E1353A" w:rsidP="00E135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（3）制订、完善并落实寄宿服务工作的各项岗位职责，建立健全寄宿生活管理制度、工作常规，建立正常的生活管理秩序。</w:t>
      </w:r>
    </w:p>
    <w:p w:rsidR="00E1353A" w:rsidRDefault="00E1353A" w:rsidP="00E135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（4）对生活老师、副班主任常规工作进行指导与检查，并协助开展丰富多彩的寄宿教育主题教育活动，协助主管主任对常规工作进行指导与检查，做到有计划、有检查、有反馈、有总结。 </w:t>
      </w:r>
    </w:p>
    <w:p w:rsidR="00E1353A" w:rsidRDefault="00E1353A" w:rsidP="00E135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（5）与学校各部门建立良好的合作关系，勤沟通、常联系，协调处理各种矛盾与问题，促进“三段管理”，形成教育合力。</w:t>
      </w:r>
    </w:p>
    <w:p w:rsidR="00E1353A" w:rsidRDefault="00E1353A" w:rsidP="00E1353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（6）根据学校工作要点，结合本部门工作实际制定并实施寄宿教育计划，落实“四自”培养目标，有计划的做好每学期总结评优工作。</w:t>
      </w:r>
    </w:p>
    <w:p w:rsidR="00E1353A" w:rsidRDefault="00E1353A" w:rsidP="00E1353A">
      <w:pPr>
        <w:adjustRightInd w:val="0"/>
        <w:snapToGrid w:val="0"/>
        <w:spacing w:before="100" w:beforeAutospacing="1" w:after="100" w:afterAutospacing="1" w:line="560" w:lineRule="exact"/>
        <w:ind w:firstLineChars="200" w:firstLine="640"/>
        <w:contextualSpacing/>
        <w:rPr>
          <w:rFonts w:ascii="仿宋_GB2312" w:eastAsia="仿宋_GB2312"/>
          <w:sz w:val="32"/>
          <w:szCs w:val="32"/>
        </w:rPr>
      </w:pPr>
      <w:r>
        <w:rPr>
          <w:rFonts w:ascii="仿宋_GB2312" w:eastAsia="仿宋_GB2312" w:hint="eastAsia"/>
          <w:sz w:val="32"/>
          <w:szCs w:val="32"/>
        </w:rPr>
        <w:t>（7）及时向学校报告寄宿生的学习活动及生活情况，经常听取并了解学生及家长对寄宿教育及生活管理方面的意见和要求。</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17794F">
        <w:rPr>
          <w:rFonts w:ascii="仿宋" w:eastAsia="仿宋" w:hAnsi="仿宋"/>
          <w:color w:val="000000"/>
          <w:sz w:val="32"/>
          <w:szCs w:val="32"/>
        </w:rPr>
        <w:t>251</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641B09">
        <w:rPr>
          <w:rFonts w:ascii="仿宋" w:eastAsia="仿宋" w:hAnsi="仿宋"/>
          <w:color w:val="000000"/>
          <w:sz w:val="32"/>
          <w:szCs w:val="32"/>
        </w:rPr>
        <w:t>240</w:t>
      </w:r>
      <w:r w:rsidR="00360E39" w:rsidRPr="00AC2580">
        <w:rPr>
          <w:rFonts w:ascii="仿宋" w:eastAsia="仿宋" w:hAnsi="仿宋" w:hint="eastAsia"/>
          <w:color w:val="000000"/>
          <w:sz w:val="32"/>
          <w:szCs w:val="32"/>
        </w:rPr>
        <w:t>人，离休</w:t>
      </w:r>
      <w:r w:rsidR="00641B09">
        <w:rPr>
          <w:rFonts w:ascii="仿宋" w:eastAsia="仿宋" w:hAnsi="仿宋"/>
          <w:color w:val="000000"/>
          <w:sz w:val="32"/>
          <w:szCs w:val="32"/>
        </w:rPr>
        <w:t>0</w:t>
      </w:r>
      <w:r w:rsidR="00360E39" w:rsidRPr="00AC2580">
        <w:rPr>
          <w:rFonts w:ascii="仿宋" w:eastAsia="仿宋" w:hAnsi="仿宋" w:hint="eastAsia"/>
          <w:color w:val="000000"/>
          <w:sz w:val="32"/>
          <w:szCs w:val="32"/>
        </w:rPr>
        <w:t>人，退休</w:t>
      </w:r>
      <w:r w:rsidR="00641B09">
        <w:rPr>
          <w:rFonts w:ascii="仿宋" w:eastAsia="仿宋" w:hAnsi="仿宋"/>
          <w:color w:val="000000"/>
          <w:sz w:val="32"/>
          <w:szCs w:val="32"/>
        </w:rPr>
        <w:t>85</w:t>
      </w:r>
      <w:r w:rsidR="00360E39" w:rsidRPr="00AC2580">
        <w:rPr>
          <w:rFonts w:ascii="仿宋" w:eastAsia="仿宋" w:hAnsi="仿宋" w:hint="eastAsia"/>
          <w:color w:val="000000"/>
          <w:sz w:val="32"/>
          <w:szCs w:val="32"/>
        </w:rPr>
        <w:t>人。学生</w:t>
      </w:r>
      <w:r w:rsidR="00641B09">
        <w:rPr>
          <w:rFonts w:ascii="仿宋" w:eastAsia="仿宋" w:hAnsi="仿宋"/>
          <w:color w:val="000000"/>
          <w:sz w:val="32"/>
          <w:szCs w:val="32"/>
        </w:rPr>
        <w:t>3416</w:t>
      </w:r>
      <w:r w:rsidR="00360E39" w:rsidRPr="00AC2580">
        <w:rPr>
          <w:rFonts w:ascii="仿宋" w:eastAsia="仿宋" w:hAnsi="仿宋" w:hint="eastAsia"/>
          <w:color w:val="000000"/>
          <w:sz w:val="32"/>
          <w:szCs w:val="32"/>
        </w:rPr>
        <w:t>人，其中：小学</w:t>
      </w:r>
      <w:r w:rsidR="00641B09">
        <w:rPr>
          <w:rFonts w:ascii="仿宋" w:eastAsia="仿宋" w:hAnsi="仿宋"/>
          <w:color w:val="000000"/>
          <w:sz w:val="32"/>
          <w:szCs w:val="32"/>
        </w:rPr>
        <w:t>3416</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1D614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1D6144" w:rsidRPr="001D6144">
        <w:rPr>
          <w:rFonts w:ascii="仿宋" w:eastAsia="仿宋" w:hAnsi="仿宋"/>
          <w:color w:val="000000"/>
          <w:sz w:val="32"/>
          <w:szCs w:val="32"/>
        </w:rPr>
        <w:t>12,512.9</w:t>
      </w:r>
      <w:r w:rsidR="001D6144">
        <w:rPr>
          <w:rFonts w:ascii="仿宋" w:eastAsia="仿宋" w:hAnsi="仿宋"/>
          <w:color w:val="000000"/>
          <w:sz w:val="32"/>
          <w:szCs w:val="32"/>
        </w:rPr>
        <w:t>8</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1D6144">
        <w:rPr>
          <w:rFonts w:ascii="仿宋_GB2312" w:eastAsia="仿宋_GB2312" w:hAnsi="华文仿宋" w:hint="eastAsia"/>
          <w:sz w:val="32"/>
          <w:szCs w:val="32"/>
        </w:rPr>
        <w:t>10254.65</w:t>
      </w:r>
      <w:r w:rsidR="00AF695C" w:rsidRPr="00AC2580">
        <w:rPr>
          <w:rFonts w:ascii="仿宋" w:eastAsia="仿宋" w:hAnsi="仿宋" w:hint="eastAsia"/>
          <w:color w:val="000000"/>
          <w:sz w:val="32"/>
          <w:szCs w:val="32"/>
        </w:rPr>
        <w:t>万元增加</w:t>
      </w:r>
      <w:r w:rsidR="00A16149">
        <w:rPr>
          <w:rFonts w:ascii="仿宋" w:eastAsia="仿宋" w:hAnsi="仿宋"/>
          <w:color w:val="000000"/>
          <w:sz w:val="32"/>
          <w:szCs w:val="32"/>
        </w:rPr>
        <w:t>2258.33</w:t>
      </w:r>
      <w:r w:rsidR="00AF695C" w:rsidRPr="00AC2580">
        <w:rPr>
          <w:rFonts w:ascii="仿宋" w:eastAsia="仿宋" w:hAnsi="仿宋" w:hint="eastAsia"/>
          <w:color w:val="000000"/>
          <w:sz w:val="32"/>
          <w:szCs w:val="32"/>
        </w:rPr>
        <w:t>万元，增长</w:t>
      </w:r>
      <w:r w:rsidR="00A16149">
        <w:rPr>
          <w:rFonts w:ascii="仿宋" w:eastAsia="仿宋" w:hAnsi="仿宋" w:hint="eastAsia"/>
          <w:color w:val="000000"/>
          <w:sz w:val="32"/>
          <w:szCs w:val="32"/>
        </w:rPr>
        <w:t>22.02%</w:t>
      </w:r>
      <w:r w:rsidR="00CF3F1E" w:rsidRPr="00AC2580">
        <w:rPr>
          <w:rFonts w:ascii="仿宋" w:eastAsia="仿宋" w:hAnsi="仿宋" w:hint="eastAsia"/>
          <w:color w:val="000000"/>
          <w:sz w:val="32"/>
          <w:szCs w:val="32"/>
        </w:rPr>
        <w:t>，主要原因是</w:t>
      </w:r>
      <w:r w:rsidR="001D6144" w:rsidRPr="001D6144">
        <w:rPr>
          <w:rFonts w:ascii="仿宋" w:eastAsia="仿宋" w:hAnsi="仿宋" w:hint="eastAsia"/>
          <w:color w:val="000000"/>
          <w:sz w:val="32"/>
          <w:szCs w:val="32"/>
        </w:rPr>
        <w:t>2023年预算</w:t>
      </w:r>
      <w:r w:rsidR="001D6144">
        <w:rPr>
          <w:rFonts w:ascii="仿宋" w:eastAsia="仿宋" w:hAnsi="仿宋" w:hint="eastAsia"/>
          <w:color w:val="000000"/>
          <w:sz w:val="32"/>
          <w:szCs w:val="32"/>
        </w:rPr>
        <w:t>的</w:t>
      </w:r>
      <w:r w:rsidR="001D6144" w:rsidRPr="001D6144">
        <w:rPr>
          <w:rFonts w:ascii="仿宋" w:eastAsia="仿宋" w:hAnsi="仿宋" w:hint="eastAsia"/>
          <w:color w:val="000000"/>
          <w:sz w:val="32"/>
          <w:szCs w:val="32"/>
        </w:rPr>
        <w:t>人员</w:t>
      </w:r>
      <w:r w:rsidR="001D6144">
        <w:rPr>
          <w:rFonts w:ascii="仿宋" w:eastAsia="仿宋" w:hAnsi="仿宋" w:hint="eastAsia"/>
          <w:color w:val="000000"/>
          <w:sz w:val="32"/>
          <w:szCs w:val="32"/>
        </w:rPr>
        <w:t>经费</w:t>
      </w:r>
      <w:r w:rsidR="001D6144" w:rsidRPr="001D6144">
        <w:rPr>
          <w:rFonts w:ascii="仿宋" w:eastAsia="仿宋" w:hAnsi="仿宋" w:hint="eastAsia"/>
          <w:color w:val="000000"/>
          <w:sz w:val="32"/>
          <w:szCs w:val="32"/>
        </w:rPr>
        <w:t>中</w:t>
      </w:r>
      <w:r w:rsidR="001D6144">
        <w:rPr>
          <w:rFonts w:ascii="仿宋" w:eastAsia="仿宋" w:hAnsi="仿宋" w:hint="eastAsia"/>
          <w:color w:val="000000"/>
          <w:sz w:val="32"/>
          <w:szCs w:val="32"/>
        </w:rPr>
        <w:t>：岗位</w:t>
      </w:r>
      <w:r w:rsidR="001D6144" w:rsidRPr="001D6144">
        <w:rPr>
          <w:rFonts w:ascii="仿宋" w:eastAsia="仿宋" w:hAnsi="仿宋" w:hint="eastAsia"/>
          <w:color w:val="000000"/>
          <w:sz w:val="32"/>
          <w:szCs w:val="32"/>
        </w:rPr>
        <w:t>工资和岗位绩效调标</w:t>
      </w:r>
      <w:r w:rsidR="005B0E06">
        <w:rPr>
          <w:rFonts w:ascii="仿宋" w:eastAsia="仿宋" w:hAnsi="仿宋" w:hint="eastAsia"/>
          <w:color w:val="000000"/>
          <w:sz w:val="32"/>
          <w:szCs w:val="32"/>
        </w:rPr>
        <w:t>；在册</w:t>
      </w:r>
      <w:r w:rsidR="001D6144" w:rsidRPr="001D6144">
        <w:rPr>
          <w:rFonts w:ascii="仿宋" w:eastAsia="仿宋" w:hAnsi="仿宋" w:hint="eastAsia"/>
          <w:color w:val="000000"/>
          <w:sz w:val="32"/>
          <w:szCs w:val="32"/>
        </w:rPr>
        <w:t>人员比2022年增加6人</w:t>
      </w:r>
      <w:r w:rsidR="005B0E06">
        <w:rPr>
          <w:rFonts w:ascii="仿宋" w:eastAsia="仿宋" w:hAnsi="仿宋" w:hint="eastAsia"/>
          <w:color w:val="000000"/>
          <w:sz w:val="32"/>
          <w:szCs w:val="32"/>
        </w:rPr>
        <w:t>；公用经费扩招6</w:t>
      </w:r>
      <w:r w:rsidR="00C70639">
        <w:rPr>
          <w:rFonts w:ascii="仿宋" w:eastAsia="仿宋" w:hAnsi="仿宋" w:hint="eastAsia"/>
          <w:color w:val="000000"/>
          <w:sz w:val="32"/>
          <w:szCs w:val="32"/>
        </w:rPr>
        <w:t>个</w:t>
      </w:r>
      <w:r w:rsidR="005B0E06">
        <w:rPr>
          <w:rFonts w:ascii="仿宋" w:eastAsia="仿宋" w:hAnsi="仿宋" w:hint="eastAsia"/>
          <w:color w:val="000000"/>
          <w:sz w:val="32"/>
          <w:szCs w:val="32"/>
        </w:rPr>
        <w:t>班级，学生增</w:t>
      </w:r>
      <w:r w:rsidR="005B0E06">
        <w:rPr>
          <w:rFonts w:ascii="仿宋" w:eastAsia="仿宋" w:hAnsi="仿宋" w:hint="eastAsia"/>
          <w:color w:val="000000"/>
          <w:sz w:val="32"/>
          <w:szCs w:val="32"/>
        </w:rPr>
        <w:lastRenderedPageBreak/>
        <w:t>加2</w:t>
      </w:r>
      <w:r w:rsidR="005B0E06">
        <w:rPr>
          <w:rFonts w:ascii="仿宋" w:eastAsia="仿宋" w:hAnsi="仿宋"/>
          <w:color w:val="000000"/>
          <w:sz w:val="32"/>
          <w:szCs w:val="32"/>
        </w:rPr>
        <w:t>00</w:t>
      </w:r>
      <w:r w:rsidR="005B0E06">
        <w:rPr>
          <w:rFonts w:ascii="仿宋" w:eastAsia="仿宋" w:hAnsi="仿宋" w:hint="eastAsia"/>
          <w:color w:val="000000"/>
          <w:sz w:val="32"/>
          <w:szCs w:val="32"/>
        </w:rPr>
        <w:t>人，生均定额增加，福利费和伙食补助调标，学校</w:t>
      </w:r>
      <w:r w:rsidR="005B0E06">
        <w:rPr>
          <w:rFonts w:ascii="仿宋" w:eastAsia="仿宋" w:hAnsi="仿宋"/>
          <w:color w:val="000000"/>
          <w:sz w:val="32"/>
          <w:szCs w:val="32"/>
        </w:rPr>
        <w:t>2023</w:t>
      </w:r>
      <w:r w:rsidR="005B0E06">
        <w:rPr>
          <w:rFonts w:ascii="仿宋" w:eastAsia="仿宋" w:hAnsi="仿宋" w:hint="eastAsia"/>
          <w:color w:val="000000"/>
          <w:sz w:val="32"/>
          <w:szCs w:val="32"/>
        </w:rPr>
        <w:t>年寄宿楼和综合楼投入使用，取暖费增加；项目经费增加了食堂运行和保洁费两个</w:t>
      </w:r>
      <w:r w:rsidR="00EC4C55">
        <w:rPr>
          <w:rFonts w:ascii="仿宋" w:eastAsia="仿宋" w:hAnsi="仿宋" w:hint="eastAsia"/>
          <w:color w:val="000000"/>
          <w:sz w:val="32"/>
          <w:szCs w:val="32"/>
        </w:rPr>
        <w:t>日常运行</w:t>
      </w:r>
      <w:r w:rsidR="005B0E06">
        <w:rPr>
          <w:rFonts w:ascii="仿宋" w:eastAsia="仿宋" w:hAnsi="仿宋" w:hint="eastAsia"/>
          <w:color w:val="000000"/>
          <w:sz w:val="32"/>
          <w:szCs w:val="32"/>
        </w:rPr>
        <w:t>项目，预计2</w:t>
      </w:r>
      <w:r w:rsidR="005B0E06">
        <w:rPr>
          <w:rFonts w:ascii="仿宋" w:eastAsia="仿宋" w:hAnsi="仿宋"/>
          <w:color w:val="000000"/>
          <w:sz w:val="32"/>
          <w:szCs w:val="32"/>
        </w:rPr>
        <w:t>023</w:t>
      </w:r>
      <w:r w:rsidR="005B0E06">
        <w:rPr>
          <w:rFonts w:ascii="仿宋" w:eastAsia="仿宋" w:hAnsi="仿宋" w:hint="eastAsia"/>
          <w:color w:val="000000"/>
          <w:sz w:val="32"/>
          <w:szCs w:val="32"/>
        </w:rPr>
        <w:t>年下半年学校住宿生达到1</w:t>
      </w:r>
      <w:r w:rsidR="005B0E06">
        <w:rPr>
          <w:rFonts w:ascii="仿宋" w:eastAsia="仿宋" w:hAnsi="仿宋"/>
          <w:color w:val="000000"/>
          <w:sz w:val="32"/>
          <w:szCs w:val="32"/>
        </w:rPr>
        <w:t>000</w:t>
      </w:r>
      <w:r w:rsidR="005B0E06">
        <w:rPr>
          <w:rFonts w:ascii="仿宋" w:eastAsia="仿宋" w:hAnsi="仿宋" w:hint="eastAsia"/>
          <w:color w:val="000000"/>
          <w:sz w:val="32"/>
          <w:szCs w:val="32"/>
        </w:rPr>
        <w:t>余人，因此，住宿生经费的专项资金增加了4</w:t>
      </w:r>
      <w:r w:rsidR="005B0E06">
        <w:rPr>
          <w:rFonts w:ascii="仿宋" w:eastAsia="仿宋" w:hAnsi="仿宋"/>
          <w:color w:val="000000"/>
          <w:sz w:val="32"/>
          <w:szCs w:val="32"/>
        </w:rPr>
        <w:t>80</w:t>
      </w:r>
      <w:r w:rsidR="005B0E06">
        <w:rPr>
          <w:rFonts w:ascii="仿宋" w:eastAsia="仿宋" w:hAnsi="仿宋" w:hint="eastAsia"/>
          <w:color w:val="000000"/>
          <w:sz w:val="32"/>
          <w:szCs w:val="32"/>
        </w:rPr>
        <w:t>万元，其中</w:t>
      </w:r>
      <w:r w:rsidR="00AF695C" w:rsidRPr="00AC2580">
        <w:rPr>
          <w:rFonts w:ascii="仿宋" w:eastAsia="仿宋" w:hAnsi="仿宋" w:hint="eastAsia"/>
          <w:color w:val="000000"/>
          <w:sz w:val="32"/>
          <w:szCs w:val="32"/>
        </w:rPr>
        <w:t>：本年财政拨款收入</w:t>
      </w:r>
      <w:r w:rsidR="005B0E06" w:rsidRPr="001D6144">
        <w:rPr>
          <w:rFonts w:ascii="仿宋" w:eastAsia="仿宋" w:hAnsi="仿宋"/>
          <w:color w:val="000000"/>
          <w:sz w:val="32"/>
          <w:szCs w:val="32"/>
        </w:rPr>
        <w:t>12,512.9</w:t>
      </w:r>
      <w:r w:rsidR="005B0E06">
        <w:rPr>
          <w:rFonts w:ascii="仿宋" w:eastAsia="仿宋" w:hAnsi="仿宋"/>
          <w:color w:val="000000"/>
          <w:sz w:val="32"/>
          <w:szCs w:val="32"/>
        </w:rPr>
        <w:t>8</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5B0E06">
        <w:rPr>
          <w:rFonts w:ascii="仿宋_GB2312" w:eastAsia="仿宋_GB2312" w:hAnsi="华文仿宋" w:hint="eastAsia"/>
          <w:sz w:val="32"/>
          <w:szCs w:val="32"/>
        </w:rPr>
        <w:t>10254.65</w:t>
      </w:r>
      <w:r w:rsidR="00AF695C" w:rsidRPr="00AC2580">
        <w:rPr>
          <w:rFonts w:ascii="仿宋" w:eastAsia="仿宋" w:hAnsi="仿宋" w:hint="eastAsia"/>
          <w:color w:val="000000"/>
          <w:sz w:val="32"/>
          <w:szCs w:val="32"/>
        </w:rPr>
        <w:t>万元增加</w:t>
      </w:r>
      <w:r w:rsidR="00A16149">
        <w:rPr>
          <w:rFonts w:ascii="仿宋" w:eastAsia="仿宋" w:hAnsi="仿宋"/>
          <w:color w:val="000000"/>
          <w:sz w:val="32"/>
          <w:szCs w:val="32"/>
        </w:rPr>
        <w:t>2258.33</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A16149">
        <w:rPr>
          <w:rFonts w:ascii="仿宋" w:eastAsia="仿宋" w:hAnsi="仿宋" w:hint="eastAsia"/>
          <w:color w:val="000000"/>
          <w:sz w:val="32"/>
          <w:szCs w:val="32"/>
        </w:rPr>
        <w:t>22.02%</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0032DC" w:rsidRPr="001D6144">
        <w:rPr>
          <w:rFonts w:ascii="仿宋" w:eastAsia="仿宋" w:hAnsi="仿宋"/>
          <w:color w:val="000000"/>
          <w:sz w:val="32"/>
          <w:szCs w:val="32"/>
        </w:rPr>
        <w:t>12,512.9</w:t>
      </w:r>
      <w:r w:rsidR="000032DC">
        <w:rPr>
          <w:rFonts w:ascii="仿宋" w:eastAsia="仿宋" w:hAnsi="仿宋"/>
          <w:color w:val="000000"/>
          <w:sz w:val="32"/>
          <w:szCs w:val="32"/>
        </w:rPr>
        <w:t>8</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0032DC">
        <w:rPr>
          <w:rFonts w:ascii="仿宋_GB2312" w:eastAsia="仿宋_GB2312" w:hAnsi="华文仿宋" w:hint="eastAsia"/>
          <w:sz w:val="32"/>
          <w:szCs w:val="32"/>
        </w:rPr>
        <w:t>10254.65</w:t>
      </w:r>
      <w:r w:rsidR="00F21086" w:rsidRPr="00AC2580">
        <w:rPr>
          <w:rFonts w:ascii="仿宋" w:eastAsia="仿宋" w:hAnsi="仿宋" w:hint="eastAsia"/>
          <w:color w:val="000000"/>
          <w:sz w:val="32"/>
          <w:szCs w:val="32"/>
        </w:rPr>
        <w:t>万元增加</w:t>
      </w:r>
      <w:r w:rsidR="00A16149">
        <w:rPr>
          <w:rFonts w:ascii="仿宋" w:eastAsia="仿宋" w:hAnsi="仿宋"/>
          <w:color w:val="000000"/>
          <w:sz w:val="32"/>
          <w:szCs w:val="32"/>
        </w:rPr>
        <w:t>2258.33</w:t>
      </w:r>
      <w:r w:rsidR="00F21086" w:rsidRPr="00AC2580">
        <w:rPr>
          <w:rFonts w:ascii="仿宋" w:eastAsia="仿宋" w:hAnsi="仿宋" w:hint="eastAsia"/>
          <w:color w:val="000000"/>
          <w:sz w:val="32"/>
          <w:szCs w:val="32"/>
        </w:rPr>
        <w:t>万元，增长</w:t>
      </w:r>
      <w:r w:rsidR="00A16149">
        <w:rPr>
          <w:rFonts w:ascii="仿宋" w:eastAsia="仿宋" w:hAnsi="仿宋" w:hint="eastAsia"/>
          <w:color w:val="000000"/>
          <w:sz w:val="32"/>
          <w:szCs w:val="32"/>
        </w:rPr>
        <w:t>22.02%</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0032DC" w:rsidRPr="001D6144">
        <w:rPr>
          <w:rFonts w:ascii="仿宋" w:eastAsia="仿宋" w:hAnsi="仿宋"/>
          <w:color w:val="000000"/>
          <w:sz w:val="32"/>
          <w:szCs w:val="32"/>
        </w:rPr>
        <w:t>12,512.9</w:t>
      </w:r>
      <w:r w:rsidR="000032DC">
        <w:rPr>
          <w:rFonts w:ascii="仿宋" w:eastAsia="仿宋" w:hAnsi="仿宋"/>
          <w:color w:val="000000"/>
          <w:sz w:val="32"/>
          <w:szCs w:val="32"/>
        </w:rPr>
        <w:t>8</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0032DC">
        <w:rPr>
          <w:rFonts w:ascii="仿宋" w:eastAsia="仿宋" w:hAnsi="仿宋"/>
          <w:color w:val="000000"/>
          <w:sz w:val="32"/>
          <w:szCs w:val="32"/>
        </w:rPr>
        <w:t>10995.18</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0032DC">
        <w:rPr>
          <w:rFonts w:ascii="仿宋_GB2312" w:eastAsia="仿宋_GB2312" w:hint="eastAsia"/>
          <w:sz w:val="32"/>
          <w:szCs w:val="32"/>
        </w:rPr>
        <w:t>9,549.79万</w:t>
      </w:r>
      <w:r w:rsidR="00F21086" w:rsidRPr="00AC2580">
        <w:rPr>
          <w:rFonts w:ascii="仿宋" w:eastAsia="仿宋" w:hAnsi="仿宋" w:hint="eastAsia"/>
          <w:color w:val="000000"/>
          <w:sz w:val="32"/>
          <w:szCs w:val="32"/>
        </w:rPr>
        <w:t>元增加</w:t>
      </w:r>
      <w:r w:rsidR="00C70639">
        <w:rPr>
          <w:rFonts w:ascii="仿宋" w:eastAsia="仿宋" w:hAnsi="仿宋" w:hint="eastAsia"/>
          <w:color w:val="000000"/>
          <w:sz w:val="32"/>
          <w:szCs w:val="32"/>
        </w:rPr>
        <w:t>1</w:t>
      </w:r>
      <w:r w:rsidR="00C70639">
        <w:rPr>
          <w:rFonts w:ascii="仿宋" w:eastAsia="仿宋" w:hAnsi="仿宋"/>
          <w:color w:val="000000"/>
          <w:sz w:val="32"/>
          <w:szCs w:val="32"/>
        </w:rPr>
        <w:t>445.39</w:t>
      </w:r>
      <w:r w:rsidR="00C70639">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w:t>
      </w:r>
      <w:r w:rsidR="00A16149" w:rsidRPr="00AC2580">
        <w:rPr>
          <w:rFonts w:ascii="仿宋" w:eastAsia="仿宋" w:hAnsi="仿宋" w:hint="eastAsia"/>
          <w:color w:val="000000"/>
          <w:sz w:val="32"/>
          <w:szCs w:val="32"/>
        </w:rPr>
        <w:t>增长</w:t>
      </w:r>
      <w:r w:rsidR="00A16149">
        <w:rPr>
          <w:rFonts w:ascii="仿宋" w:eastAsia="仿宋" w:hAnsi="仿宋"/>
          <w:color w:val="000000"/>
          <w:sz w:val="32"/>
          <w:szCs w:val="32"/>
        </w:rPr>
        <w:t>15.14</w:t>
      </w:r>
      <w:r w:rsidR="00A16149">
        <w:rPr>
          <w:rFonts w:ascii="仿宋" w:eastAsia="仿宋" w:hAnsi="仿宋" w:hint="eastAsia"/>
          <w:color w:val="000000"/>
          <w:sz w:val="32"/>
          <w:szCs w:val="32"/>
        </w:rPr>
        <w:t>%，</w:t>
      </w:r>
      <w:r w:rsidR="00F21086" w:rsidRPr="00AC2580">
        <w:rPr>
          <w:rFonts w:ascii="仿宋" w:eastAsia="仿宋" w:hAnsi="仿宋" w:hint="eastAsia"/>
          <w:color w:val="000000"/>
          <w:sz w:val="32"/>
          <w:szCs w:val="32"/>
        </w:rPr>
        <w:t>主要原因是</w:t>
      </w:r>
      <w:r w:rsidR="00C70639" w:rsidRPr="001D6144">
        <w:rPr>
          <w:rFonts w:ascii="仿宋" w:eastAsia="仿宋" w:hAnsi="仿宋" w:hint="eastAsia"/>
          <w:color w:val="000000"/>
          <w:sz w:val="32"/>
          <w:szCs w:val="32"/>
        </w:rPr>
        <w:t>2023年预算人员</w:t>
      </w:r>
      <w:r w:rsidR="00C70639">
        <w:rPr>
          <w:rFonts w:ascii="仿宋" w:eastAsia="仿宋" w:hAnsi="仿宋" w:hint="eastAsia"/>
          <w:color w:val="000000"/>
          <w:sz w:val="32"/>
          <w:szCs w:val="32"/>
        </w:rPr>
        <w:t>经费</w:t>
      </w:r>
      <w:r w:rsidR="00C70639" w:rsidRPr="001D6144">
        <w:rPr>
          <w:rFonts w:ascii="仿宋" w:eastAsia="仿宋" w:hAnsi="仿宋" w:hint="eastAsia"/>
          <w:color w:val="000000"/>
          <w:sz w:val="32"/>
          <w:szCs w:val="32"/>
        </w:rPr>
        <w:t>中</w:t>
      </w:r>
      <w:r w:rsidR="00C70639">
        <w:rPr>
          <w:rFonts w:ascii="仿宋" w:eastAsia="仿宋" w:hAnsi="仿宋" w:hint="eastAsia"/>
          <w:color w:val="000000"/>
          <w:sz w:val="32"/>
          <w:szCs w:val="32"/>
        </w:rPr>
        <w:t>：岗位</w:t>
      </w:r>
      <w:r w:rsidR="00C70639" w:rsidRPr="001D6144">
        <w:rPr>
          <w:rFonts w:ascii="仿宋" w:eastAsia="仿宋" w:hAnsi="仿宋" w:hint="eastAsia"/>
          <w:color w:val="000000"/>
          <w:sz w:val="32"/>
          <w:szCs w:val="32"/>
        </w:rPr>
        <w:t>工资和岗位绩效调标</w:t>
      </w:r>
      <w:r w:rsidR="00C70639">
        <w:rPr>
          <w:rFonts w:ascii="仿宋" w:eastAsia="仿宋" w:hAnsi="仿宋" w:hint="eastAsia"/>
          <w:color w:val="000000"/>
          <w:sz w:val="32"/>
          <w:szCs w:val="32"/>
        </w:rPr>
        <w:t>；在册</w:t>
      </w:r>
      <w:r w:rsidR="00C70639" w:rsidRPr="001D6144">
        <w:rPr>
          <w:rFonts w:ascii="仿宋" w:eastAsia="仿宋" w:hAnsi="仿宋" w:hint="eastAsia"/>
          <w:color w:val="000000"/>
          <w:sz w:val="32"/>
          <w:szCs w:val="32"/>
        </w:rPr>
        <w:t>人员比2022年增加6人</w:t>
      </w:r>
      <w:r w:rsidR="00C70639">
        <w:rPr>
          <w:rFonts w:ascii="仿宋" w:eastAsia="仿宋" w:hAnsi="仿宋" w:hint="eastAsia"/>
          <w:color w:val="000000"/>
          <w:sz w:val="32"/>
          <w:szCs w:val="32"/>
        </w:rPr>
        <w:t>；公用经费扩招6个班级，学生增加2</w:t>
      </w:r>
      <w:r w:rsidR="00C70639">
        <w:rPr>
          <w:rFonts w:ascii="仿宋" w:eastAsia="仿宋" w:hAnsi="仿宋"/>
          <w:color w:val="000000"/>
          <w:sz w:val="32"/>
          <w:szCs w:val="32"/>
        </w:rPr>
        <w:t>00</w:t>
      </w:r>
      <w:r w:rsidR="00C70639">
        <w:rPr>
          <w:rFonts w:ascii="仿宋" w:eastAsia="仿宋" w:hAnsi="仿宋" w:hint="eastAsia"/>
          <w:color w:val="000000"/>
          <w:sz w:val="32"/>
          <w:szCs w:val="32"/>
        </w:rPr>
        <w:t>人，生均定额增加，福利费和伙食补助调标，学校</w:t>
      </w:r>
      <w:r w:rsidR="00C70639">
        <w:rPr>
          <w:rFonts w:ascii="仿宋" w:eastAsia="仿宋" w:hAnsi="仿宋"/>
          <w:color w:val="000000"/>
          <w:sz w:val="32"/>
          <w:szCs w:val="32"/>
        </w:rPr>
        <w:t>2023</w:t>
      </w:r>
      <w:r w:rsidR="00C70639">
        <w:rPr>
          <w:rFonts w:ascii="仿宋" w:eastAsia="仿宋" w:hAnsi="仿宋" w:hint="eastAsia"/>
          <w:color w:val="000000"/>
          <w:sz w:val="32"/>
          <w:szCs w:val="32"/>
        </w:rPr>
        <w:t>年寄宿楼和综合楼投入使用，取暖费增加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C70639">
        <w:rPr>
          <w:rFonts w:ascii="仿宋" w:eastAsia="仿宋" w:hAnsi="仿宋"/>
          <w:color w:val="000000"/>
          <w:sz w:val="32"/>
          <w:szCs w:val="32"/>
        </w:rPr>
        <w:t>1517.80</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C70639">
        <w:rPr>
          <w:rFonts w:ascii="仿宋" w:eastAsia="仿宋" w:hAnsi="仿宋"/>
          <w:color w:val="000000"/>
          <w:sz w:val="32"/>
          <w:szCs w:val="32"/>
        </w:rPr>
        <w:t>70</w:t>
      </w:r>
      <w:r w:rsidR="00A16149">
        <w:rPr>
          <w:rFonts w:ascii="仿宋" w:eastAsia="仿宋" w:hAnsi="仿宋"/>
          <w:color w:val="000000"/>
          <w:sz w:val="32"/>
          <w:szCs w:val="32"/>
        </w:rPr>
        <w:t>4.86</w:t>
      </w:r>
      <w:r w:rsidR="00C70639">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C70639">
        <w:rPr>
          <w:rFonts w:ascii="仿宋" w:eastAsia="仿宋" w:hAnsi="仿宋"/>
          <w:color w:val="000000"/>
          <w:sz w:val="32"/>
          <w:szCs w:val="32"/>
        </w:rPr>
        <w:t>8</w:t>
      </w:r>
      <w:r w:rsidR="00A16149">
        <w:rPr>
          <w:rFonts w:ascii="仿宋" w:eastAsia="仿宋" w:hAnsi="仿宋"/>
          <w:color w:val="000000"/>
          <w:sz w:val="32"/>
          <w:szCs w:val="32"/>
        </w:rPr>
        <w:t>12.94</w:t>
      </w:r>
      <w:r w:rsidR="00C70639">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C70639">
        <w:rPr>
          <w:rFonts w:ascii="仿宋" w:eastAsia="仿宋" w:hAnsi="仿宋" w:hint="eastAsia"/>
          <w:color w:val="000000"/>
          <w:sz w:val="32"/>
          <w:szCs w:val="32"/>
        </w:rPr>
        <w:t>增加了食堂运行1</w:t>
      </w:r>
      <w:r w:rsidR="00C70639">
        <w:rPr>
          <w:rFonts w:ascii="仿宋" w:eastAsia="仿宋" w:hAnsi="仿宋"/>
          <w:color w:val="000000"/>
          <w:sz w:val="32"/>
          <w:szCs w:val="32"/>
        </w:rPr>
        <w:t>61</w:t>
      </w:r>
      <w:r w:rsidR="00C70639">
        <w:rPr>
          <w:rFonts w:ascii="仿宋" w:eastAsia="仿宋" w:hAnsi="仿宋" w:hint="eastAsia"/>
          <w:color w:val="000000"/>
          <w:sz w:val="32"/>
          <w:szCs w:val="32"/>
        </w:rPr>
        <w:t>万元、保洁费</w:t>
      </w:r>
      <w:r w:rsidR="00C70639" w:rsidRPr="00C70639">
        <w:rPr>
          <w:rFonts w:ascii="仿宋" w:eastAsia="仿宋" w:hAnsi="仿宋" w:hint="eastAsia"/>
          <w:color w:val="000000"/>
          <w:sz w:val="32"/>
          <w:szCs w:val="32"/>
        </w:rPr>
        <w:t>182.79万</w:t>
      </w:r>
      <w:r w:rsidR="00C70639">
        <w:rPr>
          <w:rFonts w:ascii="仿宋" w:eastAsia="仿宋" w:hAnsi="仿宋" w:hint="eastAsia"/>
          <w:color w:val="000000"/>
          <w:sz w:val="32"/>
          <w:szCs w:val="32"/>
        </w:rPr>
        <w:t>元， 2</w:t>
      </w:r>
      <w:r w:rsidR="00C70639">
        <w:rPr>
          <w:rFonts w:ascii="仿宋" w:eastAsia="仿宋" w:hAnsi="仿宋"/>
          <w:color w:val="000000"/>
          <w:sz w:val="32"/>
          <w:szCs w:val="32"/>
        </w:rPr>
        <w:t>023</w:t>
      </w:r>
      <w:r w:rsidR="00C70639">
        <w:rPr>
          <w:rFonts w:ascii="仿宋" w:eastAsia="仿宋" w:hAnsi="仿宋" w:hint="eastAsia"/>
          <w:color w:val="000000"/>
          <w:sz w:val="32"/>
          <w:szCs w:val="32"/>
        </w:rPr>
        <w:t>年下半</w:t>
      </w:r>
      <w:proofErr w:type="gramStart"/>
      <w:r w:rsidR="00C70639">
        <w:rPr>
          <w:rFonts w:ascii="仿宋" w:eastAsia="仿宋" w:hAnsi="仿宋" w:hint="eastAsia"/>
          <w:color w:val="000000"/>
          <w:sz w:val="32"/>
          <w:szCs w:val="32"/>
        </w:rPr>
        <w:t>年学校</w:t>
      </w:r>
      <w:proofErr w:type="gramEnd"/>
      <w:r w:rsidR="00C70639">
        <w:rPr>
          <w:rFonts w:ascii="仿宋" w:eastAsia="仿宋" w:hAnsi="仿宋" w:hint="eastAsia"/>
          <w:color w:val="000000"/>
          <w:sz w:val="32"/>
          <w:szCs w:val="32"/>
        </w:rPr>
        <w:t>住宿生达到1</w:t>
      </w:r>
      <w:r w:rsidR="00C70639">
        <w:rPr>
          <w:rFonts w:ascii="仿宋" w:eastAsia="仿宋" w:hAnsi="仿宋"/>
          <w:color w:val="000000"/>
          <w:sz w:val="32"/>
          <w:szCs w:val="32"/>
        </w:rPr>
        <w:t>000</w:t>
      </w:r>
      <w:r w:rsidR="00C70639">
        <w:rPr>
          <w:rFonts w:ascii="仿宋" w:eastAsia="仿宋" w:hAnsi="仿宋" w:hint="eastAsia"/>
          <w:color w:val="000000"/>
          <w:sz w:val="32"/>
          <w:szCs w:val="32"/>
        </w:rPr>
        <w:t>余人，因此，住宿生经费的专项资金增加了4</w:t>
      </w:r>
      <w:r w:rsidR="00C70639">
        <w:rPr>
          <w:rFonts w:ascii="仿宋" w:eastAsia="仿宋" w:hAnsi="仿宋"/>
          <w:color w:val="000000"/>
          <w:sz w:val="32"/>
          <w:szCs w:val="32"/>
        </w:rPr>
        <w:t>80</w:t>
      </w:r>
      <w:r w:rsidR="00C70639">
        <w:rPr>
          <w:rFonts w:ascii="仿宋" w:eastAsia="仿宋" w:hAnsi="仿宋" w:hint="eastAsia"/>
          <w:color w:val="000000"/>
          <w:sz w:val="32"/>
          <w:szCs w:val="32"/>
        </w:rPr>
        <w:t>万元</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rsidR="00F41D4E" w:rsidRPr="00AC2580" w:rsidRDefault="00C706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lastRenderedPageBreak/>
        <w:t>北京小学</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2.7</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color w:val="000000"/>
          <w:sz w:val="32"/>
          <w:szCs w:val="32"/>
        </w:rPr>
        <w:t>2.7</w:t>
      </w:r>
      <w:r w:rsidR="00F41D4E" w:rsidRPr="00AC2580">
        <w:rPr>
          <w:rFonts w:ascii="仿宋" w:eastAsia="仿宋" w:hAnsi="仿宋" w:hint="eastAsia"/>
          <w:color w:val="000000"/>
          <w:sz w:val="32"/>
          <w:szCs w:val="32"/>
        </w:rPr>
        <w:t>万元</w:t>
      </w:r>
      <w:r>
        <w:rPr>
          <w:rFonts w:ascii="仿宋" w:eastAsia="仿宋" w:hAnsi="仿宋" w:hint="eastAsia"/>
          <w:color w:val="000000"/>
          <w:sz w:val="32"/>
          <w:szCs w:val="32"/>
        </w:rPr>
        <w:t>持平，</w:t>
      </w:r>
      <w:r>
        <w:rPr>
          <w:rFonts w:ascii="仿宋_GB2312" w:eastAsia="仿宋_GB2312" w:hint="eastAsia"/>
          <w:sz w:val="32"/>
          <w:szCs w:val="32"/>
        </w:rPr>
        <w:t>为学校公务车运行维护费</w:t>
      </w:r>
      <w:r>
        <w:rPr>
          <w:rFonts w:ascii="仿宋_GB2312" w:eastAsia="仿宋_GB2312" w:hAnsi="华文仿宋" w:hint="eastAsia"/>
          <w:sz w:val="32"/>
          <w:szCs w:val="32"/>
        </w:rPr>
        <w:t>。</w:t>
      </w:r>
      <w:r w:rsidR="00F41D4E"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A06C13">
        <w:rPr>
          <w:rFonts w:ascii="仿宋" w:eastAsia="仿宋" w:hAnsi="仿宋"/>
          <w:color w:val="000000"/>
          <w:sz w:val="32"/>
          <w:szCs w:val="32"/>
        </w:rPr>
        <w:t>1</w:t>
      </w:r>
      <w:r w:rsidRPr="00AC2580">
        <w:rPr>
          <w:rFonts w:ascii="仿宋" w:eastAsia="仿宋" w:hAnsi="仿宋" w:hint="eastAsia"/>
          <w:color w:val="000000"/>
          <w:sz w:val="32"/>
          <w:szCs w:val="32"/>
        </w:rPr>
        <w:t>辆，财政拨款预算安排</w:t>
      </w:r>
      <w:r w:rsidR="00A06C13">
        <w:rPr>
          <w:rFonts w:ascii="仿宋" w:eastAsia="仿宋" w:hAnsi="仿宋"/>
          <w:color w:val="000000"/>
          <w:sz w:val="32"/>
          <w:szCs w:val="32"/>
        </w:rPr>
        <w:t>2.7</w:t>
      </w:r>
      <w:bookmarkStart w:id="1" w:name="_GoBack"/>
      <w:bookmarkEnd w:id="1"/>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C70639">
        <w:rPr>
          <w:rFonts w:ascii="仿宋" w:eastAsia="仿宋" w:hAnsi="仿宋"/>
          <w:color w:val="000000"/>
          <w:sz w:val="32"/>
          <w:szCs w:val="32"/>
        </w:rPr>
        <w:t>2.7</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C70639">
        <w:rPr>
          <w:rFonts w:ascii="仿宋" w:eastAsia="仿宋" w:hAnsi="仿宋"/>
          <w:color w:val="000000"/>
          <w:sz w:val="32"/>
          <w:szCs w:val="32"/>
        </w:rPr>
        <w:t>2.7</w:t>
      </w:r>
      <w:r w:rsidRPr="00AC2580">
        <w:rPr>
          <w:rFonts w:ascii="仿宋" w:eastAsia="仿宋" w:hAnsi="仿宋" w:hint="eastAsia"/>
          <w:color w:val="000000"/>
          <w:sz w:val="32"/>
          <w:szCs w:val="32"/>
        </w:rPr>
        <w:t>万元</w:t>
      </w:r>
      <w:r w:rsidR="00C70639">
        <w:rPr>
          <w:rFonts w:ascii="仿宋" w:eastAsia="仿宋" w:hAnsi="仿宋" w:hint="eastAsia"/>
          <w:color w:val="000000"/>
          <w:sz w:val="32"/>
          <w:szCs w:val="32"/>
        </w:rPr>
        <w:t>相等</w:t>
      </w:r>
      <w:r w:rsidRPr="00AC2580">
        <w:rPr>
          <w:rFonts w:ascii="仿宋" w:eastAsia="仿宋" w:hAnsi="仿宋" w:hint="eastAsia"/>
          <w:color w:val="000000"/>
          <w:sz w:val="32"/>
          <w:szCs w:val="32"/>
        </w:rPr>
        <w:t>。</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2813E2">
        <w:rPr>
          <w:rFonts w:ascii="仿宋" w:eastAsia="仿宋" w:hAnsi="仿宋"/>
          <w:color w:val="000000"/>
          <w:sz w:val="32"/>
          <w:szCs w:val="32"/>
        </w:rPr>
        <w:t>1</w:t>
      </w:r>
      <w:r w:rsidR="00A930FF" w:rsidRPr="00AC2580">
        <w:rPr>
          <w:rFonts w:ascii="仿宋" w:eastAsia="仿宋" w:hAnsi="仿宋" w:hint="eastAsia"/>
          <w:color w:val="000000"/>
          <w:sz w:val="32"/>
          <w:szCs w:val="32"/>
        </w:rPr>
        <w:t>个，预算资金</w:t>
      </w:r>
      <w:r w:rsidR="002813E2">
        <w:rPr>
          <w:rFonts w:ascii="仿宋" w:eastAsia="仿宋" w:hAnsi="仿宋"/>
          <w:color w:val="000000"/>
          <w:sz w:val="32"/>
          <w:szCs w:val="32"/>
        </w:rPr>
        <w:t>182.79</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2813E2">
        <w:rPr>
          <w:rFonts w:ascii="仿宋" w:eastAsia="仿宋" w:hAnsi="仿宋"/>
          <w:color w:val="000000"/>
          <w:sz w:val="32"/>
          <w:szCs w:val="32"/>
        </w:rPr>
        <w:t>12</w:t>
      </w:r>
      <w:r w:rsidR="00545D6C" w:rsidRPr="00AC2580">
        <w:rPr>
          <w:rFonts w:ascii="仿宋" w:eastAsia="仿宋" w:hAnsi="仿宋" w:hint="eastAsia"/>
          <w:color w:val="000000"/>
          <w:sz w:val="32"/>
          <w:szCs w:val="32"/>
        </w:rPr>
        <w:t>项，占总项目数额的</w:t>
      </w:r>
      <w:r w:rsidR="002813E2">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2813E2">
        <w:rPr>
          <w:rFonts w:ascii="仿宋" w:eastAsia="仿宋" w:hAnsi="仿宋"/>
          <w:color w:val="000000"/>
          <w:sz w:val="32"/>
          <w:szCs w:val="32"/>
        </w:rPr>
        <w:t>6</w:t>
      </w:r>
      <w:r w:rsidR="00545D6C" w:rsidRPr="00AC2580">
        <w:rPr>
          <w:rFonts w:ascii="仿宋" w:eastAsia="仿宋" w:hAnsi="仿宋" w:hint="eastAsia"/>
          <w:color w:val="000000"/>
          <w:sz w:val="32"/>
          <w:szCs w:val="32"/>
        </w:rPr>
        <w:t>个，涉及金额</w:t>
      </w:r>
      <w:r w:rsidR="002813E2">
        <w:rPr>
          <w:rFonts w:ascii="仿宋" w:eastAsia="仿宋" w:hAnsi="仿宋"/>
          <w:color w:val="000000"/>
          <w:sz w:val="32"/>
          <w:szCs w:val="32"/>
        </w:rPr>
        <w:t>134</w:t>
      </w:r>
      <w:r w:rsidR="00A44F02">
        <w:rPr>
          <w:rFonts w:ascii="仿宋" w:eastAsia="仿宋" w:hAnsi="仿宋"/>
          <w:color w:val="000000"/>
          <w:sz w:val="32"/>
          <w:szCs w:val="32"/>
        </w:rPr>
        <w:t>9.08</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lastRenderedPageBreak/>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A44F02" w:rsidRPr="00A44F02" w:rsidRDefault="00390CFC" w:rsidP="00A44F02">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A44F02">
        <w:rPr>
          <w:rFonts w:ascii="仿宋" w:eastAsia="仿宋" w:hAnsi="仿宋"/>
          <w:color w:val="000000"/>
          <w:sz w:val="32"/>
          <w:szCs w:val="32"/>
        </w:rPr>
        <w:t>12446.74</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w:t>
      </w:r>
      <w:r w:rsidR="00A44F02" w:rsidRPr="00A44F02">
        <w:rPr>
          <w:rFonts w:ascii="仿宋" w:eastAsia="仿宋" w:hAnsi="仿宋" w:hint="eastAsia"/>
          <w:color w:val="000000"/>
          <w:sz w:val="32"/>
          <w:szCs w:val="32"/>
        </w:rPr>
        <w:t>其中：车辆1台，11.29万元；单位价值50万元以上的通用设备1台（套）、174.74万元，单位价值100万元以上的专用设备0台（套）、0万元。</w:t>
      </w:r>
    </w:p>
    <w:p w:rsidR="00CB65E3" w:rsidRDefault="00A44F02" w:rsidP="00A44F02">
      <w:pPr>
        <w:spacing w:line="560" w:lineRule="exact"/>
        <w:ind w:firstLineChars="200" w:firstLine="640"/>
        <w:rPr>
          <w:rFonts w:ascii="仿宋" w:eastAsia="仿宋" w:hAnsi="仿宋"/>
          <w:color w:val="000000"/>
          <w:sz w:val="32"/>
          <w:szCs w:val="32"/>
        </w:rPr>
      </w:pPr>
      <w:r w:rsidRPr="00A44F02">
        <w:rPr>
          <w:rFonts w:ascii="仿宋" w:eastAsia="仿宋" w:hAnsi="仿宋" w:hint="eastAsia"/>
          <w:color w:val="000000"/>
          <w:sz w:val="32"/>
          <w:szCs w:val="32"/>
        </w:rPr>
        <w:t>2022部门预算安排购置车辆0台，0万元；安排购置单位价值50万元以上的通用设备0台（套）、0万元，安排购置单位价值100万元以上的专用设备0台（套）、0万元。</w:t>
      </w:r>
    </w:p>
    <w:p w:rsidR="00B219F2" w:rsidRPr="00AC2580" w:rsidRDefault="00B219F2" w:rsidP="00A44F02">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F7B" w:rsidRDefault="002A5F7B" w:rsidP="00AF695C">
      <w:r>
        <w:separator/>
      </w:r>
    </w:p>
  </w:endnote>
  <w:endnote w:type="continuationSeparator" w:id="0">
    <w:p w:rsidR="002A5F7B" w:rsidRDefault="002A5F7B"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636294" w:rsidRPr="00636294">
          <w:rPr>
            <w:rFonts w:ascii="仿宋" w:eastAsia="仿宋" w:hAnsi="仿宋"/>
            <w:noProof/>
            <w:sz w:val="28"/>
            <w:lang w:val="zh-CN"/>
          </w:rPr>
          <w:t>4</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F7B" w:rsidRDefault="002A5F7B" w:rsidP="00AF695C">
      <w:r>
        <w:separator/>
      </w:r>
    </w:p>
  </w:footnote>
  <w:footnote w:type="continuationSeparator" w:id="0">
    <w:p w:rsidR="002A5F7B" w:rsidRDefault="002A5F7B" w:rsidP="00AF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DB4816"/>
    <w:multiLevelType w:val="multilevel"/>
    <w:tmpl w:val="78DB4816"/>
    <w:lvl w:ilvl="0">
      <w:start w:val="1"/>
      <w:numFmt w:val="decimal"/>
      <w:lvlText w:val="%1."/>
      <w:lvlJc w:val="left"/>
      <w:pPr>
        <w:ind w:left="1000" w:hanging="360"/>
      </w:pPr>
      <w:rPr>
        <w:rFonts w:hint="default"/>
        <w:color w:val="00000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2DC"/>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94F"/>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144"/>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EDD"/>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3E2"/>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5F7B"/>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89B"/>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0E06"/>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B09"/>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45A"/>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3"/>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149"/>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4F02"/>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8F7"/>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283"/>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639"/>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5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53A"/>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55"/>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0070B"/>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68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8</Pages>
  <Words>612</Words>
  <Characters>3495</Characters>
  <Application>Microsoft Office Word</Application>
  <DocSecurity>0</DocSecurity>
  <Lines>29</Lines>
  <Paragraphs>8</Paragraphs>
  <ScaleCrop>false</ScaleCrop>
  <Company>微软中国</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admin</cp:lastModifiedBy>
  <cp:revision>20</cp:revision>
  <dcterms:created xsi:type="dcterms:W3CDTF">2022-01-10T07:29:00Z</dcterms:created>
  <dcterms:modified xsi:type="dcterms:W3CDTF">2023-02-03T08:12:00Z</dcterms:modified>
</cp:coreProperties>
</file>