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4F1746"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北京市西城区教育委员会基建管理中心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C85BF1" w:rsidRDefault="00C85BF1" w:rsidP="00C85BF1">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本单位设置</w:t>
      </w:r>
      <w:r w:rsidRPr="00C05C11">
        <w:rPr>
          <w:rFonts w:ascii="仿宋_GB2312" w:eastAsia="仿宋_GB2312" w:hint="eastAsia"/>
          <w:color w:val="000000"/>
          <w:sz w:val="32"/>
          <w:szCs w:val="32"/>
        </w:rPr>
        <w:t>15个科室：行政科、校舍管理科、修缮科、基建科、房改办、预算科、规划科、住宅物业管理科、社会科、档案科、安全生产科、财务科、出租房清退办公室、校办企业清理办公室、党办。</w:t>
      </w:r>
    </w:p>
    <w:p w:rsidR="00C85BF1" w:rsidRPr="00250B19" w:rsidRDefault="00C85BF1" w:rsidP="00C85BF1">
      <w:pPr>
        <w:adjustRightInd w:val="0"/>
        <w:snapToGrid w:val="0"/>
        <w:spacing w:line="560" w:lineRule="exact"/>
        <w:ind w:firstLineChars="200" w:firstLine="640"/>
        <w:rPr>
          <w:rFonts w:ascii="黑体" w:eastAsia="黑体" w:hAnsi="黑体"/>
          <w:color w:val="000000"/>
          <w:sz w:val="32"/>
          <w:szCs w:val="32"/>
        </w:rPr>
      </w:pPr>
      <w:r>
        <w:rPr>
          <w:rFonts w:ascii="仿宋_GB2312" w:eastAsia="仿宋_GB2312" w:hint="eastAsia"/>
          <w:color w:val="000000"/>
          <w:sz w:val="32"/>
          <w:szCs w:val="32"/>
        </w:rPr>
        <w:t>主要职责：本单位负责</w:t>
      </w:r>
      <w:r w:rsidRPr="00C05C11">
        <w:rPr>
          <w:rFonts w:ascii="仿宋_GB2312" w:eastAsia="仿宋_GB2312" w:hint="eastAsia"/>
          <w:color w:val="000000"/>
          <w:sz w:val="32"/>
          <w:szCs w:val="32"/>
        </w:rPr>
        <w:t>校舍基建、修缮的前期规划和后期维修；负责校舍及教委产权教师宿舍的设备管理、维修及夏季防汛、绿化、冬季取暖工作；负责管理校舍房屋的产权、产籍工作；负责区教委所属单位教职工执行房改政策的落实；负责教育系统防灾减灾场所的建设，做好相关物资设备的配备和管理工作；负责推进学校后勤工作社会化；为学校师生生活、后勤保障提供服务；负责区教委所属单位非教育用房等国有资产的监管工作；负责区教委所属原校办企业历史遗留问题的处理。</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C85BF1" w:rsidRDefault="00C85BF1" w:rsidP="00C85BF1">
      <w:pPr>
        <w:tabs>
          <w:tab w:val="left" w:pos="1680"/>
        </w:tabs>
        <w:spacing w:line="560" w:lineRule="exact"/>
        <w:ind w:firstLineChars="200" w:firstLine="640"/>
        <w:rPr>
          <w:rFonts w:ascii="仿宋_GB2312" w:eastAsia="仿宋_GB2312" w:hAnsi="华文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hint="eastAsia"/>
          <w:color w:val="000000"/>
          <w:sz w:val="32"/>
          <w:szCs w:val="32"/>
        </w:rPr>
        <w:t>103</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w:t>
      </w:r>
      <w:r w:rsidRPr="0049745F">
        <w:rPr>
          <w:rFonts w:ascii="仿宋_GB2312" w:eastAsia="仿宋_GB2312" w:hAnsi="华文仿宋" w:hint="eastAsia"/>
          <w:color w:val="000000"/>
          <w:sz w:val="32"/>
          <w:szCs w:val="32"/>
        </w:rPr>
        <w:t>在册教职工</w:t>
      </w:r>
      <w:r>
        <w:rPr>
          <w:rFonts w:ascii="仿宋_GB2312" w:eastAsia="仿宋_GB2312" w:hAnsi="华文仿宋"/>
          <w:color w:val="000000"/>
          <w:sz w:val="32"/>
          <w:szCs w:val="32"/>
        </w:rPr>
        <w:t>94</w:t>
      </w:r>
      <w:r w:rsidRPr="0049745F">
        <w:rPr>
          <w:rFonts w:ascii="仿宋_GB2312" w:eastAsia="仿宋_GB2312" w:hAnsi="华文仿宋" w:hint="eastAsia"/>
          <w:color w:val="000000"/>
          <w:sz w:val="32"/>
          <w:szCs w:val="32"/>
        </w:rPr>
        <w:t>人，离休</w:t>
      </w:r>
      <w:r>
        <w:rPr>
          <w:rFonts w:ascii="仿宋_GB2312" w:eastAsia="仿宋_GB2312" w:hAnsi="华文仿宋" w:hint="eastAsia"/>
          <w:color w:val="000000"/>
          <w:sz w:val="32"/>
          <w:szCs w:val="32"/>
        </w:rPr>
        <w:t>1</w:t>
      </w:r>
      <w:r w:rsidRPr="0049745F">
        <w:rPr>
          <w:rFonts w:ascii="仿宋_GB2312" w:eastAsia="仿宋_GB2312" w:hAnsi="华文仿宋" w:hint="eastAsia"/>
          <w:color w:val="000000"/>
          <w:sz w:val="32"/>
          <w:szCs w:val="32"/>
        </w:rPr>
        <w:t>人，退休</w:t>
      </w:r>
      <w:r>
        <w:rPr>
          <w:rFonts w:ascii="仿宋_GB2312" w:eastAsia="仿宋_GB2312" w:hAnsi="华文仿宋" w:hint="eastAsia"/>
          <w:color w:val="000000"/>
          <w:sz w:val="32"/>
          <w:szCs w:val="32"/>
        </w:rPr>
        <w:t>14</w:t>
      </w:r>
      <w:r>
        <w:rPr>
          <w:rFonts w:ascii="仿宋_GB2312" w:eastAsia="仿宋_GB2312" w:hAnsi="华文仿宋"/>
          <w:color w:val="000000"/>
          <w:sz w:val="32"/>
          <w:szCs w:val="32"/>
        </w:rPr>
        <w:t>7</w:t>
      </w:r>
      <w:r w:rsidRPr="0049745F">
        <w:rPr>
          <w:rFonts w:ascii="仿宋_GB2312" w:eastAsia="仿宋_GB2312" w:hAnsi="华文仿宋" w:hint="eastAsia"/>
          <w:color w:val="000000"/>
          <w:sz w:val="32"/>
          <w:szCs w:val="32"/>
        </w:rPr>
        <w:t>人。学生</w:t>
      </w:r>
      <w:r>
        <w:rPr>
          <w:rFonts w:ascii="仿宋_GB2312" w:eastAsia="仿宋_GB2312" w:hAnsi="华文仿宋" w:hint="eastAsia"/>
          <w:color w:val="000000"/>
          <w:sz w:val="32"/>
          <w:szCs w:val="32"/>
        </w:rPr>
        <w:t>0</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5C3C89">
      <w:pPr>
        <w:widowControl/>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DB3C1A" w:rsidRPr="00DB3C1A">
        <w:rPr>
          <w:rFonts w:ascii="仿宋" w:eastAsia="仿宋" w:hAnsi="仿宋"/>
          <w:color w:val="000000"/>
          <w:sz w:val="32"/>
          <w:szCs w:val="32"/>
        </w:rPr>
        <w:t>24,907.35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904C9" w:rsidRPr="00E904C9">
        <w:rPr>
          <w:rFonts w:ascii="仿宋" w:eastAsia="仿宋" w:hAnsi="仿宋"/>
          <w:color w:val="000000"/>
          <w:sz w:val="32"/>
          <w:szCs w:val="32"/>
        </w:rPr>
        <w:t>81,721.60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E904C9" w:rsidRPr="00E904C9">
        <w:rPr>
          <w:rFonts w:ascii="仿宋" w:eastAsia="仿宋" w:hAnsi="仿宋"/>
          <w:color w:val="000000"/>
          <w:sz w:val="32"/>
          <w:szCs w:val="32"/>
        </w:rPr>
        <w:t>56,814.25</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E904C9" w:rsidRPr="00E904C9">
        <w:rPr>
          <w:rFonts w:ascii="仿宋" w:eastAsia="仿宋" w:hAnsi="仿宋"/>
          <w:color w:val="000000"/>
          <w:sz w:val="32"/>
          <w:szCs w:val="32"/>
        </w:rPr>
        <w:t>69.52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w:t>
      </w:r>
      <w:r w:rsidR="00CF3F1E" w:rsidRPr="00AC2580">
        <w:rPr>
          <w:rFonts w:ascii="仿宋" w:eastAsia="仿宋" w:hAnsi="仿宋" w:hint="eastAsia"/>
          <w:color w:val="000000"/>
          <w:sz w:val="32"/>
          <w:szCs w:val="32"/>
        </w:rPr>
        <w:lastRenderedPageBreak/>
        <w:t>因是</w:t>
      </w:r>
      <w:r w:rsidR="00B447F5">
        <w:rPr>
          <w:rFonts w:ascii="仿宋" w:eastAsia="仿宋" w:hAnsi="仿宋" w:hint="eastAsia"/>
          <w:color w:val="000000"/>
          <w:sz w:val="32"/>
          <w:szCs w:val="32"/>
        </w:rPr>
        <w:t>部分项目等待用债券资金安排</w:t>
      </w:r>
      <w:r w:rsidR="003067A4">
        <w:rPr>
          <w:rFonts w:ascii="仿宋" w:eastAsia="仿宋" w:hAnsi="仿宋" w:hint="eastAsia"/>
          <w:color w:val="000000"/>
          <w:sz w:val="32"/>
          <w:szCs w:val="32"/>
        </w:rPr>
        <w:t>追加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3067A4" w:rsidRPr="00DB3C1A">
        <w:rPr>
          <w:rFonts w:ascii="仿宋" w:eastAsia="仿宋" w:hAnsi="仿宋"/>
          <w:color w:val="000000"/>
          <w:sz w:val="32"/>
          <w:szCs w:val="32"/>
        </w:rPr>
        <w:t>24,907.35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5C3C89" w:rsidRPr="005C3C89">
        <w:rPr>
          <w:rFonts w:ascii="仿宋" w:eastAsia="仿宋" w:hAnsi="仿宋" w:hint="eastAsia"/>
          <w:color w:val="000000"/>
          <w:sz w:val="32"/>
          <w:szCs w:val="32"/>
        </w:rPr>
        <w:t xml:space="preserve">81,604.00 </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5C3C89" w:rsidRPr="005C3C89">
        <w:rPr>
          <w:rFonts w:ascii="仿宋" w:eastAsia="仿宋" w:hAnsi="仿宋"/>
          <w:color w:val="000000"/>
          <w:sz w:val="32"/>
          <w:szCs w:val="32"/>
        </w:rPr>
        <w:t>56,696.65</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5C3C89" w:rsidRPr="005C3C89">
        <w:rPr>
          <w:rFonts w:ascii="仿宋" w:eastAsia="仿宋" w:hAnsi="仿宋" w:hint="eastAsia"/>
          <w:color w:val="000000"/>
          <w:sz w:val="32"/>
          <w:szCs w:val="32"/>
        </w:rPr>
        <w:t>69.48%</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067A4" w:rsidRPr="00DB3C1A">
        <w:rPr>
          <w:rFonts w:ascii="仿宋" w:eastAsia="仿宋" w:hAnsi="仿宋"/>
          <w:color w:val="000000"/>
          <w:sz w:val="32"/>
          <w:szCs w:val="32"/>
        </w:rPr>
        <w:t>24,907.35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D7C8E" w:rsidRPr="00E904C9">
        <w:rPr>
          <w:rFonts w:ascii="仿宋" w:eastAsia="仿宋" w:hAnsi="仿宋"/>
          <w:color w:val="000000"/>
          <w:sz w:val="32"/>
          <w:szCs w:val="32"/>
        </w:rPr>
        <w:t>81,721.60</w:t>
      </w:r>
      <w:r w:rsidR="00F21086" w:rsidRPr="00AC2580">
        <w:rPr>
          <w:rFonts w:ascii="仿宋" w:eastAsia="仿宋" w:hAnsi="仿宋" w:hint="eastAsia"/>
          <w:color w:val="000000"/>
          <w:sz w:val="32"/>
          <w:szCs w:val="32"/>
        </w:rPr>
        <w:t>万元</w:t>
      </w:r>
      <w:r w:rsidR="00CD7C8E" w:rsidRPr="00AC2580">
        <w:rPr>
          <w:rFonts w:ascii="仿宋" w:eastAsia="仿宋" w:hAnsi="仿宋" w:hint="eastAsia"/>
          <w:color w:val="000000"/>
          <w:sz w:val="32"/>
          <w:szCs w:val="32"/>
        </w:rPr>
        <w:t>减少</w:t>
      </w:r>
      <w:r w:rsidR="00CD7C8E" w:rsidRPr="00E904C9">
        <w:rPr>
          <w:rFonts w:ascii="仿宋" w:eastAsia="仿宋" w:hAnsi="仿宋"/>
          <w:color w:val="000000"/>
          <w:sz w:val="32"/>
          <w:szCs w:val="32"/>
        </w:rPr>
        <w:t>56,814.25</w:t>
      </w:r>
      <w:r w:rsidR="00CD7C8E" w:rsidRPr="00AC2580">
        <w:rPr>
          <w:rFonts w:ascii="仿宋" w:eastAsia="仿宋" w:hAnsi="仿宋" w:hint="eastAsia"/>
          <w:color w:val="000000"/>
          <w:sz w:val="32"/>
          <w:szCs w:val="32"/>
        </w:rPr>
        <w:t>万元，降低</w:t>
      </w:r>
      <w:r w:rsidR="00CD7C8E" w:rsidRPr="00E904C9">
        <w:rPr>
          <w:rFonts w:ascii="仿宋" w:eastAsia="仿宋" w:hAnsi="仿宋"/>
          <w:color w:val="000000"/>
          <w:sz w:val="32"/>
          <w:szCs w:val="32"/>
        </w:rPr>
        <w:t>69.52</w:t>
      </w:r>
      <w:r w:rsidR="00CD7C8E"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2801DD">
      <w:pPr>
        <w:widowControl/>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5C3C89" w:rsidRPr="005C3C89">
        <w:rPr>
          <w:rFonts w:ascii="仿宋" w:eastAsia="仿宋" w:hAnsi="仿宋"/>
          <w:color w:val="000000"/>
          <w:sz w:val="32"/>
          <w:szCs w:val="32"/>
        </w:rPr>
        <w:t>24,907.35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C23116" w:rsidRPr="00C23116">
        <w:rPr>
          <w:rFonts w:ascii="仿宋" w:eastAsia="仿宋" w:hAnsi="仿宋"/>
          <w:color w:val="000000"/>
          <w:sz w:val="32"/>
          <w:szCs w:val="32"/>
        </w:rPr>
        <w:t>3,577.94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23116" w:rsidRPr="00C23116">
        <w:rPr>
          <w:rFonts w:ascii="仿宋" w:eastAsia="仿宋" w:hAnsi="仿宋"/>
          <w:color w:val="000000"/>
          <w:sz w:val="32"/>
          <w:szCs w:val="32"/>
        </w:rPr>
        <w:t>3,234.34</w:t>
      </w:r>
      <w:r w:rsidR="00D21EC1">
        <w:rPr>
          <w:rFonts w:ascii="仿宋" w:eastAsia="仿宋" w:hAnsi="仿宋" w:hint="eastAsia"/>
          <w:color w:val="000000"/>
          <w:sz w:val="32"/>
          <w:szCs w:val="32"/>
        </w:rPr>
        <w:t>万</w:t>
      </w:r>
      <w:bookmarkStart w:id="0" w:name="_GoBack"/>
      <w:bookmarkEnd w:id="0"/>
      <w:r w:rsidR="00F21086" w:rsidRPr="00AC2580">
        <w:rPr>
          <w:rFonts w:ascii="仿宋" w:eastAsia="仿宋" w:hAnsi="仿宋" w:hint="eastAsia"/>
          <w:color w:val="000000"/>
          <w:sz w:val="32"/>
          <w:szCs w:val="32"/>
        </w:rPr>
        <w:t>元增加</w:t>
      </w:r>
      <w:r w:rsidR="00C23116" w:rsidRPr="00C23116">
        <w:rPr>
          <w:rFonts w:ascii="仿宋" w:eastAsia="仿宋" w:hAnsi="仿宋"/>
          <w:color w:val="000000"/>
          <w:sz w:val="32"/>
          <w:szCs w:val="32"/>
        </w:rPr>
        <w:t>343.60</w:t>
      </w:r>
      <w:r w:rsidR="00C23116">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2801DD">
        <w:rPr>
          <w:rFonts w:ascii="仿宋" w:eastAsia="仿宋" w:hAnsi="仿宋" w:hint="eastAsia"/>
          <w:color w:val="000000"/>
          <w:sz w:val="32"/>
          <w:szCs w:val="32"/>
        </w:rPr>
        <w:t>人</w:t>
      </w:r>
      <w:r w:rsidR="00CE0BCF">
        <w:rPr>
          <w:rFonts w:ascii="仿宋" w:eastAsia="仿宋" w:hAnsi="仿宋" w:hint="eastAsia"/>
          <w:color w:val="000000"/>
          <w:sz w:val="32"/>
          <w:szCs w:val="32"/>
        </w:rPr>
        <w:t>员经费增长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051B08">
        <w:rPr>
          <w:rFonts w:ascii="仿宋" w:eastAsia="仿宋" w:hAnsi="仿宋" w:hint="eastAsia"/>
          <w:color w:val="000000"/>
          <w:sz w:val="32"/>
          <w:szCs w:val="32"/>
        </w:rPr>
        <w:t>21,329.40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51B08" w:rsidRPr="00051B08">
        <w:rPr>
          <w:rFonts w:ascii="仿宋" w:eastAsia="仿宋" w:hAnsi="仿宋"/>
          <w:color w:val="000000"/>
          <w:sz w:val="32"/>
          <w:szCs w:val="32"/>
        </w:rPr>
        <w:t>78,369.66</w:t>
      </w:r>
      <w:r w:rsidR="00F21086" w:rsidRPr="00AC2580">
        <w:rPr>
          <w:rFonts w:ascii="仿宋" w:eastAsia="仿宋" w:hAnsi="仿宋" w:hint="eastAsia"/>
          <w:color w:val="000000"/>
          <w:sz w:val="32"/>
          <w:szCs w:val="32"/>
        </w:rPr>
        <w:t>元减少</w:t>
      </w:r>
      <w:r w:rsidR="00051B08" w:rsidRPr="00051B08">
        <w:rPr>
          <w:rFonts w:ascii="仿宋" w:eastAsia="仿宋" w:hAnsi="仿宋"/>
          <w:color w:val="000000"/>
          <w:sz w:val="32"/>
          <w:szCs w:val="32"/>
        </w:rPr>
        <w:t>57,040.26</w:t>
      </w:r>
      <w:r w:rsidR="00D21EC1">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51B08">
        <w:rPr>
          <w:rFonts w:ascii="仿宋" w:eastAsia="仿宋" w:hAnsi="仿宋" w:hint="eastAsia"/>
          <w:color w:val="000000"/>
          <w:sz w:val="32"/>
          <w:szCs w:val="32"/>
        </w:rPr>
        <w:t>部分项目等待用债券资金安排追加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CD55B8" w:rsidRDefault="00CD55B8" w:rsidP="00CD55B8">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color w:val="000000"/>
          <w:sz w:val="32"/>
          <w:szCs w:val="32"/>
        </w:rPr>
        <w:t>本单位</w:t>
      </w:r>
      <w:r>
        <w:rPr>
          <w:rFonts w:ascii="仿宋_GB2312" w:eastAsia="仿宋_GB2312" w:hint="eastAsia"/>
          <w:color w:val="000000"/>
          <w:sz w:val="32"/>
          <w:szCs w:val="32"/>
        </w:rPr>
        <w:t>的三</w:t>
      </w:r>
      <w:proofErr w:type="gramStart"/>
      <w:r>
        <w:rPr>
          <w:rFonts w:ascii="仿宋_GB2312" w:eastAsia="仿宋_GB2312" w:hint="eastAsia"/>
          <w:color w:val="000000"/>
          <w:sz w:val="32"/>
          <w:szCs w:val="32"/>
        </w:rPr>
        <w:t>公经费</w:t>
      </w:r>
      <w:proofErr w:type="gramEnd"/>
      <w:r>
        <w:rPr>
          <w:rFonts w:ascii="仿宋_GB2312" w:eastAsia="仿宋_GB2312" w:hint="eastAsia"/>
          <w:color w:val="000000"/>
          <w:sz w:val="32"/>
          <w:szCs w:val="32"/>
        </w:rPr>
        <w:t>只是公车运行维护费</w:t>
      </w:r>
      <w:r>
        <w:rPr>
          <w:rFonts w:ascii="仿宋_GB2312" w:eastAsia="仿宋_GB2312"/>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8F27FF"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我</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Pr="008F27FF">
        <w:rPr>
          <w:rFonts w:ascii="仿宋" w:eastAsia="仿宋" w:hAnsi="仿宋"/>
          <w:color w:val="000000"/>
          <w:sz w:val="32"/>
          <w:szCs w:val="32"/>
        </w:rPr>
        <w:t>9.80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Pr="008F27FF">
        <w:rPr>
          <w:rFonts w:ascii="仿宋" w:eastAsia="仿宋" w:hAnsi="仿宋"/>
          <w:color w:val="000000"/>
          <w:sz w:val="32"/>
          <w:szCs w:val="32"/>
        </w:rPr>
        <w:t>8.60</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增加</w:t>
      </w:r>
      <w:r>
        <w:rPr>
          <w:rFonts w:ascii="仿宋" w:eastAsia="仿宋" w:hAnsi="仿宋"/>
          <w:color w:val="000000"/>
          <w:sz w:val="32"/>
          <w:szCs w:val="32"/>
        </w:rPr>
        <w:t>1.2</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677A6">
        <w:rPr>
          <w:rFonts w:ascii="仿宋" w:eastAsia="仿宋" w:hAnsi="仿宋"/>
          <w:color w:val="000000"/>
          <w:sz w:val="32"/>
          <w:szCs w:val="32"/>
        </w:rPr>
        <w:lastRenderedPageBreak/>
        <w:t>4</w:t>
      </w:r>
      <w:r w:rsidRPr="00AC2580">
        <w:rPr>
          <w:rFonts w:ascii="仿宋" w:eastAsia="仿宋" w:hAnsi="仿宋" w:hint="eastAsia"/>
          <w:color w:val="000000"/>
          <w:sz w:val="32"/>
          <w:szCs w:val="32"/>
        </w:rPr>
        <w:t>辆，财政拨款预算安排</w:t>
      </w:r>
      <w:r w:rsidR="000677A6">
        <w:rPr>
          <w:rFonts w:ascii="仿宋" w:eastAsia="仿宋" w:hAnsi="仿宋"/>
          <w:color w:val="000000"/>
          <w:sz w:val="32"/>
          <w:szCs w:val="32"/>
        </w:rPr>
        <w:t>9.8</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0677A6">
        <w:rPr>
          <w:rFonts w:ascii="仿宋" w:eastAsia="仿宋" w:hAnsi="仿宋"/>
          <w:color w:val="000000"/>
          <w:sz w:val="32"/>
          <w:szCs w:val="32"/>
        </w:rPr>
        <w:t>9.8</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0677A6">
        <w:rPr>
          <w:rFonts w:ascii="仿宋" w:eastAsia="仿宋" w:hAnsi="仿宋"/>
          <w:color w:val="000000"/>
          <w:sz w:val="32"/>
          <w:szCs w:val="32"/>
        </w:rPr>
        <w:t>8.6</w:t>
      </w:r>
      <w:r w:rsidRPr="00AC2580">
        <w:rPr>
          <w:rFonts w:ascii="仿宋" w:eastAsia="仿宋" w:hAnsi="仿宋" w:hint="eastAsia"/>
          <w:color w:val="000000"/>
          <w:sz w:val="32"/>
          <w:szCs w:val="32"/>
        </w:rPr>
        <w:t>万元</w:t>
      </w:r>
      <w:r w:rsidR="000677A6">
        <w:rPr>
          <w:rFonts w:ascii="仿宋" w:eastAsia="仿宋" w:hAnsi="仿宋" w:hint="eastAsia"/>
          <w:color w:val="000000"/>
          <w:sz w:val="32"/>
          <w:szCs w:val="32"/>
        </w:rPr>
        <w:t>增加1</w:t>
      </w:r>
      <w:r w:rsidR="000677A6">
        <w:rPr>
          <w:rFonts w:ascii="仿宋" w:eastAsia="仿宋" w:hAnsi="仿宋"/>
          <w:color w:val="000000"/>
          <w:sz w:val="32"/>
          <w:szCs w:val="32"/>
        </w:rPr>
        <w:t>.2</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BA3952">
        <w:rPr>
          <w:rFonts w:ascii="仿宋" w:eastAsia="仿宋" w:hAnsi="仿宋"/>
          <w:color w:val="000000"/>
          <w:sz w:val="32"/>
          <w:szCs w:val="32"/>
        </w:rPr>
        <w:t>8</w:t>
      </w:r>
      <w:r w:rsidR="00A930FF" w:rsidRPr="00AC2580">
        <w:rPr>
          <w:rFonts w:ascii="仿宋" w:eastAsia="仿宋" w:hAnsi="仿宋" w:hint="eastAsia"/>
          <w:color w:val="000000"/>
          <w:sz w:val="32"/>
          <w:szCs w:val="32"/>
        </w:rPr>
        <w:t>个，预算资金</w:t>
      </w:r>
      <w:r w:rsidR="00BA3952">
        <w:rPr>
          <w:rFonts w:ascii="仿宋" w:eastAsia="仿宋" w:hAnsi="仿宋"/>
          <w:color w:val="000000"/>
          <w:sz w:val="32"/>
          <w:szCs w:val="32"/>
        </w:rPr>
        <w:t>7174</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A3952">
        <w:rPr>
          <w:rFonts w:ascii="仿宋" w:eastAsia="仿宋" w:hAnsi="仿宋"/>
          <w:color w:val="000000"/>
          <w:sz w:val="32"/>
          <w:szCs w:val="32"/>
        </w:rPr>
        <w:t>39</w:t>
      </w:r>
      <w:r w:rsidR="00545D6C" w:rsidRPr="00AC2580">
        <w:rPr>
          <w:rFonts w:ascii="仿宋" w:eastAsia="仿宋" w:hAnsi="仿宋" w:hint="eastAsia"/>
          <w:color w:val="000000"/>
          <w:sz w:val="32"/>
          <w:szCs w:val="32"/>
        </w:rPr>
        <w:t>项，占总项目数额的</w:t>
      </w:r>
      <w:r w:rsidR="00BA395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BA3952">
        <w:rPr>
          <w:rFonts w:ascii="仿宋" w:eastAsia="仿宋" w:hAnsi="仿宋"/>
          <w:color w:val="000000"/>
          <w:sz w:val="32"/>
          <w:szCs w:val="32"/>
        </w:rPr>
        <w:t>30</w:t>
      </w:r>
      <w:r w:rsidR="00545D6C" w:rsidRPr="00AC2580">
        <w:rPr>
          <w:rFonts w:ascii="仿宋" w:eastAsia="仿宋" w:hAnsi="仿宋" w:hint="eastAsia"/>
          <w:color w:val="000000"/>
          <w:sz w:val="32"/>
          <w:szCs w:val="32"/>
        </w:rPr>
        <w:t>个，涉及金额</w:t>
      </w:r>
      <w:r w:rsidR="00BA3952">
        <w:rPr>
          <w:rFonts w:ascii="仿宋" w:eastAsia="仿宋" w:hAnsi="仿宋"/>
          <w:color w:val="000000"/>
          <w:sz w:val="32"/>
          <w:szCs w:val="32"/>
        </w:rPr>
        <w:t>20959.99</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9F23E2" w:rsidRPr="009F23E2">
        <w:rPr>
          <w:rFonts w:ascii="仿宋" w:eastAsia="仿宋" w:hAnsi="仿宋"/>
          <w:color w:val="000000"/>
          <w:sz w:val="32"/>
          <w:szCs w:val="32"/>
        </w:rPr>
        <w:t>13,210.20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9F23E2">
        <w:rPr>
          <w:rFonts w:ascii="仿宋" w:eastAsia="仿宋" w:hAnsi="仿宋"/>
          <w:color w:val="000000"/>
          <w:sz w:val="32"/>
          <w:szCs w:val="32"/>
        </w:rPr>
        <w:t>4</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9F23E2" w:rsidRPr="009F23E2">
        <w:rPr>
          <w:rFonts w:ascii="仿宋" w:eastAsia="仿宋" w:hAnsi="仿宋"/>
          <w:color w:val="000000"/>
          <w:sz w:val="32"/>
          <w:szCs w:val="32"/>
        </w:rPr>
        <w:t>93</w:t>
      </w:r>
      <w:r w:rsidR="009F23E2">
        <w:rPr>
          <w:rFonts w:ascii="仿宋" w:eastAsia="仿宋" w:hAnsi="仿宋"/>
          <w:color w:val="000000"/>
          <w:sz w:val="32"/>
          <w:szCs w:val="32"/>
        </w:rPr>
        <w:t>.</w:t>
      </w:r>
      <w:r w:rsidR="009F23E2" w:rsidRPr="009F23E2">
        <w:rPr>
          <w:rFonts w:ascii="仿宋" w:eastAsia="仿宋" w:hAnsi="仿宋"/>
          <w:color w:val="000000"/>
          <w:sz w:val="32"/>
          <w:szCs w:val="32"/>
        </w:rPr>
        <w:t>31</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9F23E2">
        <w:rPr>
          <w:rFonts w:ascii="仿宋" w:eastAsia="仿宋" w:hAnsi="仿宋"/>
          <w:color w:val="000000"/>
          <w:sz w:val="32"/>
          <w:szCs w:val="32"/>
        </w:rPr>
        <w:t>2</w:t>
      </w:r>
      <w:r w:rsidRPr="00AC2580">
        <w:rPr>
          <w:rFonts w:ascii="仿宋" w:eastAsia="仿宋" w:hAnsi="仿宋" w:hint="eastAsia"/>
          <w:color w:val="000000"/>
          <w:sz w:val="32"/>
          <w:szCs w:val="32"/>
        </w:rPr>
        <w:t>台（套）、</w:t>
      </w:r>
      <w:r w:rsidR="009F23E2" w:rsidRPr="009F23E2">
        <w:rPr>
          <w:rFonts w:ascii="仿宋" w:eastAsia="仿宋" w:hAnsi="仿宋"/>
          <w:color w:val="000000"/>
          <w:sz w:val="32"/>
          <w:szCs w:val="32"/>
        </w:rPr>
        <w:t>123.31</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9F23E2">
        <w:rPr>
          <w:rFonts w:ascii="仿宋" w:eastAsia="仿宋" w:hAnsi="仿宋"/>
          <w:color w:val="000000"/>
          <w:sz w:val="32"/>
          <w:szCs w:val="32"/>
        </w:rPr>
        <w:t>1</w:t>
      </w:r>
      <w:r w:rsidRPr="00AC2580">
        <w:rPr>
          <w:rFonts w:ascii="仿宋" w:eastAsia="仿宋" w:hAnsi="仿宋" w:hint="eastAsia"/>
          <w:color w:val="000000"/>
          <w:sz w:val="32"/>
          <w:szCs w:val="32"/>
        </w:rPr>
        <w:t>台（套）、</w:t>
      </w:r>
      <w:r w:rsidR="009F23E2" w:rsidRPr="009F23E2">
        <w:rPr>
          <w:rFonts w:ascii="仿宋" w:eastAsia="仿宋" w:hAnsi="仿宋"/>
          <w:color w:val="000000"/>
          <w:sz w:val="32"/>
          <w:szCs w:val="32"/>
        </w:rPr>
        <w:t>393.2</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DE1252">
        <w:rPr>
          <w:rFonts w:ascii="仿宋" w:eastAsia="仿宋" w:hAnsi="仿宋"/>
          <w:color w:val="000000"/>
          <w:sz w:val="32"/>
          <w:szCs w:val="32"/>
        </w:rPr>
        <w:t>0</w:t>
      </w:r>
      <w:r w:rsidRPr="00AC2580">
        <w:rPr>
          <w:rFonts w:ascii="仿宋" w:eastAsia="仿宋" w:hAnsi="仿宋" w:hint="eastAsia"/>
          <w:color w:val="000000"/>
          <w:sz w:val="32"/>
          <w:szCs w:val="32"/>
        </w:rPr>
        <w:t>台（套）、</w:t>
      </w:r>
      <w:r w:rsidR="00DE1252">
        <w:rPr>
          <w:rFonts w:ascii="仿宋" w:eastAsia="仿宋" w:hAnsi="仿宋"/>
          <w:color w:val="000000"/>
          <w:sz w:val="32"/>
          <w:szCs w:val="32"/>
        </w:rPr>
        <w:t>0</w:t>
      </w:r>
      <w:r w:rsidRPr="00AC2580">
        <w:rPr>
          <w:rFonts w:ascii="仿宋" w:eastAsia="仿宋" w:hAnsi="仿宋" w:hint="eastAsia"/>
          <w:color w:val="000000"/>
          <w:sz w:val="32"/>
          <w:szCs w:val="32"/>
        </w:rPr>
        <w:t>万元，安排购</w:t>
      </w:r>
      <w:r w:rsidRPr="00AC2580">
        <w:rPr>
          <w:rFonts w:ascii="仿宋" w:eastAsia="仿宋" w:hAnsi="仿宋" w:hint="eastAsia"/>
          <w:color w:val="000000"/>
          <w:sz w:val="32"/>
          <w:szCs w:val="32"/>
        </w:rPr>
        <w:lastRenderedPageBreak/>
        <w:t>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DE1252">
        <w:rPr>
          <w:rFonts w:ascii="仿宋" w:eastAsia="仿宋" w:hAnsi="仿宋"/>
          <w:color w:val="000000"/>
          <w:sz w:val="32"/>
          <w:szCs w:val="32"/>
        </w:rPr>
        <w:t>0</w:t>
      </w:r>
      <w:r w:rsidRPr="00AC2580">
        <w:rPr>
          <w:rFonts w:ascii="仿宋" w:eastAsia="仿宋" w:hAnsi="仿宋" w:hint="eastAsia"/>
          <w:color w:val="000000"/>
          <w:sz w:val="32"/>
          <w:szCs w:val="32"/>
        </w:rPr>
        <w:t>台（套）、</w:t>
      </w:r>
      <w:r w:rsidR="00DE1252">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w:t>
      </w:r>
      <w:r w:rsidRPr="00AC2580">
        <w:rPr>
          <w:rFonts w:ascii="仿宋" w:eastAsia="仿宋" w:hAnsi="仿宋" w:hint="eastAsia"/>
          <w:color w:val="000000"/>
          <w:sz w:val="32"/>
          <w:szCs w:val="32"/>
        </w:rPr>
        <w:lastRenderedPageBreak/>
        <w:t>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33" w:rsidRDefault="000D6333" w:rsidP="00AF695C">
      <w:r>
        <w:separator/>
      </w:r>
    </w:p>
  </w:endnote>
  <w:endnote w:type="continuationSeparator" w:id="0">
    <w:p w:rsidR="000D6333" w:rsidRDefault="000D6333"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D21EC1" w:rsidRPr="00D21EC1">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33" w:rsidRDefault="000D6333" w:rsidP="00AF695C">
      <w:r>
        <w:separator/>
      </w:r>
    </w:p>
  </w:footnote>
  <w:footnote w:type="continuationSeparator" w:id="0">
    <w:p w:rsidR="000D6333" w:rsidRDefault="000D6333"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0BF"/>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B08"/>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7A6"/>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333"/>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01DD"/>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67A4"/>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5F4"/>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46"/>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0798"/>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C89"/>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432"/>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06C"/>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7FF"/>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3E2"/>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47F5"/>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3952"/>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116"/>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5BF1"/>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5B8"/>
    <w:rsid w:val="00CD5AE5"/>
    <w:rsid w:val="00CD6B97"/>
    <w:rsid w:val="00CD7103"/>
    <w:rsid w:val="00CD7294"/>
    <w:rsid w:val="00CD73B2"/>
    <w:rsid w:val="00CD7746"/>
    <w:rsid w:val="00CD7806"/>
    <w:rsid w:val="00CD7A9C"/>
    <w:rsid w:val="00CD7C8E"/>
    <w:rsid w:val="00CE08B3"/>
    <w:rsid w:val="00CE0BCF"/>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1EC1"/>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70B"/>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3C1A"/>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252"/>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C9"/>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1AA"/>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08F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758">
      <w:bodyDiv w:val="1"/>
      <w:marLeft w:val="0"/>
      <w:marRight w:val="0"/>
      <w:marTop w:val="0"/>
      <w:marBottom w:val="0"/>
      <w:divBdr>
        <w:top w:val="none" w:sz="0" w:space="0" w:color="auto"/>
        <w:left w:val="none" w:sz="0" w:space="0" w:color="auto"/>
        <w:bottom w:val="none" w:sz="0" w:space="0" w:color="auto"/>
        <w:right w:val="none" w:sz="0" w:space="0" w:color="auto"/>
      </w:divBdr>
    </w:div>
    <w:div w:id="90592690">
      <w:bodyDiv w:val="1"/>
      <w:marLeft w:val="0"/>
      <w:marRight w:val="0"/>
      <w:marTop w:val="0"/>
      <w:marBottom w:val="0"/>
      <w:divBdr>
        <w:top w:val="none" w:sz="0" w:space="0" w:color="auto"/>
        <w:left w:val="none" w:sz="0" w:space="0" w:color="auto"/>
        <w:bottom w:val="none" w:sz="0" w:space="0" w:color="auto"/>
        <w:right w:val="none" w:sz="0" w:space="0" w:color="auto"/>
      </w:divBdr>
    </w:div>
    <w:div w:id="657347688">
      <w:bodyDiv w:val="1"/>
      <w:marLeft w:val="0"/>
      <w:marRight w:val="0"/>
      <w:marTop w:val="0"/>
      <w:marBottom w:val="0"/>
      <w:divBdr>
        <w:top w:val="none" w:sz="0" w:space="0" w:color="auto"/>
        <w:left w:val="none" w:sz="0" w:space="0" w:color="auto"/>
        <w:bottom w:val="none" w:sz="0" w:space="0" w:color="auto"/>
        <w:right w:val="none" w:sz="0" w:space="0" w:color="auto"/>
      </w:divBdr>
    </w:div>
    <w:div w:id="8993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333</Words>
  <Characters>1899</Characters>
  <Application>Microsoft Office Word</Application>
  <DocSecurity>0</DocSecurity>
  <Lines>15</Lines>
  <Paragraphs>4</Paragraphs>
  <ScaleCrop>false</ScaleCrop>
  <Company>微软中国</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38</cp:revision>
  <dcterms:created xsi:type="dcterms:W3CDTF">2022-01-10T07:29:00Z</dcterms:created>
  <dcterms:modified xsi:type="dcterms:W3CDTF">2023-02-02T12:17:00Z</dcterms:modified>
</cp:coreProperties>
</file>