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overflowPunct/>
        <w:topLinePunct w:val="0"/>
        <w:bidi w:val="0"/>
        <w:snapToGrid/>
        <w:spacing w:line="680" w:lineRule="exact"/>
        <w:ind w:left="0" w:leftChars="0" w:firstLine="0" w:firstLineChars="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p>
    <w:p>
      <w:pPr>
        <w:pStyle w:val="3"/>
        <w:keepNext w:val="0"/>
        <w:keepLines w:val="0"/>
        <w:pageBreakBefore w:val="0"/>
        <w:kinsoku/>
        <w:overflowPunct/>
        <w:topLinePunct w:val="0"/>
        <w:bidi w:val="0"/>
        <w:snapToGrid/>
        <w:spacing w:line="680" w:lineRule="exact"/>
        <w:ind w:left="0" w:leftChars="0" w:firstLine="0" w:firstLineChars="0"/>
        <w:textAlignment w:val="auto"/>
        <w:rPr>
          <w:rFonts w:hint="eastAsia" w:ascii="黑体" w:hAnsi="黑体" w:eastAsia="黑体" w:cs="黑体"/>
          <w:color w:val="auto"/>
          <w:sz w:val="32"/>
          <w:szCs w:val="32"/>
          <w:lang w:eastAsia="zh-CN"/>
        </w:rPr>
      </w:pPr>
    </w:p>
    <w:p>
      <w:pPr>
        <w:keepNext w:val="0"/>
        <w:keepLines w:val="0"/>
        <w:pageBreakBefore w:val="0"/>
        <w:kinsoku/>
        <w:overflowPunct/>
        <w:topLinePunct w:val="0"/>
        <w:bidi w:val="0"/>
        <w:snapToGrid/>
        <w:spacing w:line="680" w:lineRule="exact"/>
        <w:jc w:val="center"/>
        <w:textAlignment w:val="auto"/>
        <w:rPr>
          <w:rFonts w:hint="eastAsia" w:ascii="方正小标宋简体" w:hAnsi="方正小标宋简体" w:eastAsia="方正小标宋简体" w:cs="方正小标宋简体"/>
          <w:color w:val="auto"/>
          <w:spacing w:val="10"/>
          <w:sz w:val="44"/>
          <w:szCs w:val="44"/>
          <w:lang w:eastAsia="zh-CN"/>
        </w:rPr>
      </w:pPr>
      <w:r>
        <w:rPr>
          <w:rFonts w:hint="eastAsia" w:ascii="方正小标宋简体" w:hAnsi="方正小标宋简体" w:eastAsia="方正小标宋简体" w:cs="方正小标宋简体"/>
          <w:color w:val="auto"/>
          <w:spacing w:val="10"/>
          <w:sz w:val="44"/>
          <w:szCs w:val="44"/>
        </w:rPr>
        <w:t>关于支持</w:t>
      </w:r>
      <w:r>
        <w:rPr>
          <w:rFonts w:hint="eastAsia" w:ascii="方正小标宋简体" w:hAnsi="方正小标宋简体" w:eastAsia="方正小标宋简体" w:cs="方正小标宋简体"/>
          <w:color w:val="auto"/>
          <w:spacing w:val="10"/>
          <w:sz w:val="44"/>
          <w:szCs w:val="44"/>
          <w:lang w:eastAsia="zh-CN"/>
        </w:rPr>
        <w:t>国家级金融科技示范区建设</w:t>
      </w:r>
    </w:p>
    <w:p>
      <w:pPr>
        <w:keepNext w:val="0"/>
        <w:keepLines w:val="0"/>
        <w:pageBreakBefore w:val="0"/>
        <w:kinsoku/>
        <w:overflowPunct/>
        <w:topLinePunct w:val="0"/>
        <w:bidi w:val="0"/>
        <w:snapToGrid/>
        <w:spacing w:line="680" w:lineRule="exact"/>
        <w:jc w:val="center"/>
        <w:textAlignment w:val="auto"/>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color w:val="auto"/>
          <w:spacing w:val="10"/>
          <w:sz w:val="44"/>
          <w:szCs w:val="44"/>
          <w:lang w:eastAsia="zh-CN"/>
        </w:rPr>
        <w:t>若干措施</w:t>
      </w:r>
      <w:r>
        <w:rPr>
          <w:rFonts w:hint="eastAsia" w:ascii="方正小标宋简体" w:hAnsi="方正小标宋简体" w:eastAsia="方正小标宋简体" w:cs="方正小标宋简体"/>
          <w:color w:val="auto"/>
          <w:spacing w:val="10"/>
          <w:sz w:val="32"/>
          <w:szCs w:val="32"/>
        </w:rPr>
        <w:br w:type="textWrapping"/>
      </w:r>
    </w:p>
    <w:p>
      <w:pPr>
        <w:keepNext w:val="0"/>
        <w:keepLines w:val="0"/>
        <w:pageBreakBefore w:val="0"/>
        <w:kinsoku/>
        <w:overflowPunct/>
        <w:topLinePunct w:val="0"/>
        <w:bidi w:val="0"/>
        <w:snapToGrid/>
        <w:spacing w:line="680" w:lineRule="exact"/>
        <w:ind w:firstLine="640" w:firstLineChars="200"/>
        <w:textAlignment w:val="auto"/>
        <w:outlineLvl w:val="0"/>
        <w:rPr>
          <w:rFonts w:ascii="黑体" w:hAnsi="黑体" w:eastAsia="黑体" w:cs="黑体"/>
          <w:color w:val="auto"/>
          <w:sz w:val="32"/>
          <w:szCs w:val="32"/>
        </w:rPr>
      </w:pPr>
      <w:r>
        <w:rPr>
          <w:rFonts w:hint="eastAsia" w:ascii="仿宋_GB2312" w:hAnsi="仿宋_GB2312" w:eastAsia="仿宋_GB2312" w:cs="仿宋_GB2312"/>
          <w:color w:val="auto"/>
          <w:sz w:val="32"/>
          <w:szCs w:val="32"/>
        </w:rPr>
        <w:t>为高水平服务和支撑国际科技创新中心、国家金融管理中心建设，深入落实中关村先行先试改革政策措施，持续推动《西城区“十四五”时期国家级金融科技示范区发展规划》实施，促进国家级金融科技示范区（以下简称“金科新区”）建设再上新台阶，结合区域实际，特制定本措施。</w:t>
      </w:r>
    </w:p>
    <w:p>
      <w:pPr>
        <w:keepNext w:val="0"/>
        <w:keepLines w:val="0"/>
        <w:pageBreakBefore w:val="0"/>
        <w:numPr>
          <w:ilvl w:val="0"/>
          <w:numId w:val="0"/>
        </w:numPr>
        <w:kinsoku/>
        <w:overflowPunct/>
        <w:topLinePunct w:val="0"/>
        <w:bidi w:val="0"/>
        <w:snapToGrid/>
        <w:spacing w:line="680" w:lineRule="exact"/>
        <w:ind w:left="640" w:leftChars="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第一条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支持对象。</w:t>
      </w:r>
      <w:r>
        <w:rPr>
          <w:rFonts w:hint="eastAsia" w:ascii="仿宋_GB2312" w:hAnsi="仿宋_GB2312" w:eastAsia="仿宋_GB2312" w:cs="仿宋_GB2312"/>
          <w:color w:val="auto"/>
          <w:sz w:val="32"/>
          <w:szCs w:val="32"/>
        </w:rPr>
        <w:t>本措施支持对象包括以下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类：</w:t>
      </w:r>
    </w:p>
    <w:p>
      <w:pPr>
        <w:keepNext w:val="0"/>
        <w:keepLines w:val="0"/>
        <w:pageBreakBefore w:val="0"/>
        <w:kinsoku/>
        <w:overflowPunct/>
        <w:topLinePunct w:val="0"/>
        <w:bidi w:val="0"/>
        <w:snapToGrid/>
        <w:spacing w:line="6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 xml:space="preserve">（一）金融科技企业 </w:t>
      </w:r>
    </w:p>
    <w:p>
      <w:pPr>
        <w:keepNext w:val="0"/>
        <w:keepLines w:val="0"/>
        <w:pageBreakBefore w:val="0"/>
        <w:kinsoku/>
        <w:overflowPunct/>
        <w:topLinePunct w:val="0"/>
        <w:bidi w:val="0"/>
        <w:snapToGrid/>
        <w:spacing w:line="6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从事</w:t>
      </w:r>
      <w:r>
        <w:rPr>
          <w:rFonts w:hint="eastAsia" w:ascii="仿宋_GB2312" w:hAnsi="仿宋_GB2312" w:eastAsia="仿宋_GB2312" w:cs="仿宋_GB2312"/>
          <w:color w:val="auto"/>
          <w:sz w:val="32"/>
          <w:szCs w:val="32"/>
        </w:rPr>
        <w:t>云服务、人工智能、区块链、大数据、</w:t>
      </w:r>
      <w:r>
        <w:rPr>
          <w:rFonts w:hint="eastAsia" w:ascii="仿宋_GB2312" w:hAnsi="仿宋_GB2312" w:eastAsia="仿宋_GB2312" w:cs="仿宋_GB2312"/>
          <w:color w:val="auto"/>
          <w:sz w:val="32"/>
          <w:szCs w:val="32"/>
          <w:lang w:eastAsia="zh-CN"/>
        </w:rPr>
        <w:t>量子技术、</w:t>
      </w:r>
      <w:r>
        <w:rPr>
          <w:rFonts w:hint="eastAsia" w:ascii="仿宋_GB2312" w:hAnsi="仿宋_GB2312" w:eastAsia="仿宋_GB2312" w:cs="仿宋_GB2312"/>
          <w:color w:val="auto"/>
          <w:sz w:val="32"/>
          <w:szCs w:val="32"/>
        </w:rPr>
        <w:t>生物识别、隐私计算等</w:t>
      </w:r>
      <w:r>
        <w:rPr>
          <w:rFonts w:hint="eastAsia" w:ascii="仿宋_GB2312" w:hAnsi="仿宋_GB2312" w:eastAsia="仿宋_GB2312" w:cs="仿宋_GB2312"/>
          <w:color w:val="auto"/>
          <w:sz w:val="32"/>
          <w:szCs w:val="32"/>
          <w:lang w:eastAsia="zh-CN"/>
        </w:rPr>
        <w:t>前沿</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研发创新，</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eastAsia="zh-CN"/>
        </w:rPr>
        <w:t>金融</w:t>
      </w:r>
      <w:r>
        <w:rPr>
          <w:rFonts w:hint="eastAsia" w:ascii="仿宋_GB2312" w:hAnsi="仿宋_GB2312" w:eastAsia="仿宋_GB2312" w:cs="仿宋_GB2312"/>
          <w:color w:val="auto"/>
          <w:sz w:val="32"/>
          <w:szCs w:val="32"/>
        </w:rPr>
        <w:t>监管科技、大数据征信、支付清算、数字货币、金融安全</w:t>
      </w:r>
      <w:r>
        <w:rPr>
          <w:rFonts w:hint="eastAsia" w:ascii="仿宋_GB2312" w:hAnsi="仿宋_GB2312" w:eastAsia="仿宋_GB2312" w:cs="仿宋_GB2312"/>
          <w:color w:val="auto"/>
          <w:sz w:val="32"/>
          <w:szCs w:val="32"/>
          <w:lang w:eastAsia="zh-CN"/>
        </w:rPr>
        <w:t>保障</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eastAsia="zh-CN"/>
        </w:rPr>
        <w:t>领域应用，</w:t>
      </w:r>
      <w:r>
        <w:rPr>
          <w:rFonts w:hint="eastAsia" w:ascii="仿宋_GB2312" w:hAnsi="仿宋_GB2312" w:eastAsia="仿宋_GB2312" w:cs="仿宋_GB2312"/>
          <w:color w:val="auto"/>
          <w:sz w:val="32"/>
          <w:szCs w:val="32"/>
        </w:rPr>
        <w:t>对金融市场、机构及金融服务产生影响的优质科技企业。</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overflowPunct/>
        <w:topLinePunct w:val="0"/>
        <w:bidi w:val="0"/>
        <w:snapToGrid/>
        <w:spacing w:line="680" w:lineRule="exact"/>
        <w:ind w:firstLine="640" w:firstLineChars="200"/>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（二）专业服务机构</w:t>
      </w:r>
    </w:p>
    <w:p>
      <w:pPr>
        <w:keepNext w:val="0"/>
        <w:keepLines w:val="0"/>
        <w:pageBreakBefore w:val="0"/>
        <w:kinsoku/>
        <w:overflowPunct/>
        <w:topLinePunct w:val="0"/>
        <w:bidi w:val="0"/>
        <w:snapToGrid/>
        <w:spacing w:line="6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金融基础设施运营机构，金融科技检测认证机构，金融标准服务机构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金融科技领域重点实验室、新型研发机构、技术创新中心等</w:t>
      </w:r>
      <w:r>
        <w:rPr>
          <w:rFonts w:hint="eastAsia" w:ascii="仿宋_GB2312" w:hAnsi="仿宋_GB2312" w:eastAsia="仿宋_GB2312" w:cs="仿宋_GB2312"/>
          <w:color w:val="auto"/>
          <w:sz w:val="32"/>
          <w:szCs w:val="32"/>
          <w:lang w:eastAsia="zh-CN"/>
        </w:rPr>
        <w:t>技术</w:t>
      </w:r>
      <w:r>
        <w:rPr>
          <w:rFonts w:hint="eastAsia" w:ascii="仿宋_GB2312" w:hAnsi="仿宋_GB2312" w:eastAsia="仿宋_GB2312" w:cs="仿宋_GB2312"/>
          <w:color w:val="auto"/>
          <w:sz w:val="32"/>
          <w:szCs w:val="32"/>
        </w:rPr>
        <w:t>服务机构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为金融管理部门、持牌金融机构、金融科技企业提供各类服务支撑的行业协会、产业联盟、行业智库、社团组织等机构。</w:t>
      </w:r>
    </w:p>
    <w:p>
      <w:pPr>
        <w:keepNext w:val="0"/>
        <w:keepLines w:val="0"/>
        <w:pageBreakBefore w:val="0"/>
        <w:kinsoku/>
        <w:overflowPunct/>
        <w:topLinePunct w:val="0"/>
        <w:bidi w:val="0"/>
        <w:snapToGrid/>
        <w:spacing w:line="680" w:lineRule="exact"/>
        <w:ind w:firstLine="640" w:firstLineChars="200"/>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空间载体运营机构</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以金融科技</w:t>
      </w:r>
      <w:r>
        <w:rPr>
          <w:rFonts w:hint="eastAsia" w:ascii="仿宋_GB2312" w:hAnsi="仿宋_GB2312" w:eastAsia="仿宋_GB2312" w:cs="仿宋_GB2312"/>
          <w:color w:val="auto"/>
          <w:sz w:val="32"/>
          <w:szCs w:val="32"/>
          <w:lang w:eastAsia="zh-CN"/>
        </w:rPr>
        <w:t>产业</w:t>
      </w:r>
      <w:r>
        <w:rPr>
          <w:rFonts w:hint="eastAsia" w:ascii="仿宋_GB2312" w:hAnsi="仿宋_GB2312" w:eastAsia="仿宋_GB2312" w:cs="仿宋_GB2312"/>
          <w:color w:val="auto"/>
          <w:sz w:val="32"/>
          <w:szCs w:val="32"/>
        </w:rPr>
        <w:t>为主导</w:t>
      </w:r>
      <w:r>
        <w:rPr>
          <w:rFonts w:hint="eastAsia" w:ascii="仿宋_GB2312" w:hAnsi="仿宋_GB2312" w:eastAsia="仿宋_GB2312" w:cs="仿宋_GB2312"/>
          <w:color w:val="auto"/>
          <w:sz w:val="32"/>
          <w:szCs w:val="32"/>
          <w:lang w:eastAsia="zh-CN"/>
        </w:rPr>
        <w:t>、符合西城区产业定位</w:t>
      </w:r>
      <w:r>
        <w:rPr>
          <w:rFonts w:hint="eastAsia" w:ascii="仿宋_GB2312" w:hAnsi="仿宋_GB2312" w:eastAsia="仿宋_GB2312" w:cs="仿宋_GB2312"/>
          <w:color w:val="auto"/>
          <w:sz w:val="32"/>
          <w:szCs w:val="32"/>
        </w:rPr>
        <w:t>且具有一定规模集聚效应的主题楼宇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孵化加速器等</w:t>
      </w:r>
      <w:r>
        <w:rPr>
          <w:rFonts w:hint="eastAsia" w:ascii="仿宋_GB2312" w:hAnsi="仿宋_GB2312" w:eastAsia="仿宋_GB2312" w:cs="仿宋_GB2312"/>
          <w:color w:val="auto"/>
          <w:sz w:val="32"/>
          <w:szCs w:val="32"/>
          <w:lang w:eastAsia="zh-CN"/>
        </w:rPr>
        <w:t>空间载体</w:t>
      </w:r>
      <w:r>
        <w:rPr>
          <w:rFonts w:hint="eastAsia" w:ascii="仿宋_GB2312" w:hAnsi="仿宋_GB2312" w:eastAsia="仿宋_GB2312" w:cs="仿宋_GB2312"/>
          <w:color w:val="auto"/>
          <w:sz w:val="32"/>
          <w:szCs w:val="32"/>
        </w:rPr>
        <w:t>运营机构。</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本措施支持的金融科技企业和专业服务机构应是在金科新区</w:t>
      </w:r>
      <w:r>
        <w:rPr>
          <w:rFonts w:hint="eastAsia" w:ascii="仿宋_GB2312" w:hAnsi="仿宋_GB2312" w:eastAsia="仿宋_GB2312" w:cs="仿宋_GB2312"/>
          <w:color w:val="auto"/>
          <w:sz w:val="32"/>
          <w:szCs w:val="32"/>
          <w:lang w:eastAsia="zh-CN"/>
        </w:rPr>
        <w:t>（西城区域）</w:t>
      </w:r>
      <w:r>
        <w:rPr>
          <w:rFonts w:hint="eastAsia" w:ascii="仿宋_GB2312" w:hAnsi="仿宋_GB2312" w:eastAsia="仿宋_GB2312" w:cs="仿宋_GB2312"/>
          <w:color w:val="auto"/>
          <w:sz w:val="32"/>
          <w:szCs w:val="32"/>
        </w:rPr>
        <w:t>范围内办理注册和税务</w:t>
      </w:r>
      <w:r>
        <w:rPr>
          <w:rFonts w:hint="eastAsia" w:ascii="仿宋_GB2312" w:hAnsi="仿宋_GB2312" w:eastAsia="仿宋_GB2312" w:cs="仿宋_GB2312"/>
          <w:color w:val="auto"/>
          <w:sz w:val="32"/>
          <w:szCs w:val="32"/>
          <w:lang w:eastAsia="zh-CN"/>
        </w:rPr>
        <w:t>关系</w:t>
      </w:r>
      <w:bookmarkStart w:id="0" w:name="_GoBack"/>
      <w:bookmarkEnd w:id="0"/>
      <w:r>
        <w:rPr>
          <w:rFonts w:hint="eastAsia" w:ascii="仿宋_GB2312" w:hAnsi="仿宋_GB2312" w:eastAsia="仿宋_GB2312" w:cs="仿宋_GB2312"/>
          <w:color w:val="auto"/>
          <w:sz w:val="32"/>
          <w:szCs w:val="32"/>
        </w:rPr>
        <w:t>，并经相关部门认定的独立法人主体。</w:t>
      </w:r>
    </w:p>
    <w:p>
      <w:pPr>
        <w:keepNext w:val="0"/>
        <w:keepLines w:val="0"/>
        <w:pageBreakBefore w:val="0"/>
        <w:kinsoku/>
        <w:overflowPunct/>
        <w:topLinePunct w:val="0"/>
        <w:bidi w:val="0"/>
        <w:snapToGrid/>
        <w:spacing w:line="680" w:lineRule="exact"/>
        <w:jc w:val="center"/>
        <w:textAlignment w:val="auto"/>
        <w:outlineLvl w:val="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w:t>
      </w:r>
    </w:p>
    <w:p>
      <w:pPr>
        <w:keepNext w:val="0"/>
        <w:keepLines w:val="0"/>
        <w:pageBreakBefore w:val="0"/>
        <w:numPr>
          <w:ilvl w:val="0"/>
          <w:numId w:val="0"/>
        </w:numPr>
        <w:kinsoku/>
        <w:overflowPunct/>
        <w:topLinePunct w:val="0"/>
        <w:bidi w:val="0"/>
        <w:snapToGrid/>
        <w:spacing w:line="680" w:lineRule="exact"/>
        <w:jc w:val="both"/>
        <w:textAlignment w:val="auto"/>
        <w:rPr>
          <w:rFonts w:hint="default" w:ascii="仿宋_GB2312" w:hAnsi="仿宋_GB2312" w:eastAsia="仿宋_GB2312" w:cs="仿宋_GB2312"/>
          <w:b/>
          <w:bCs/>
          <w:color w:val="auto"/>
          <w:sz w:val="32"/>
          <w:szCs w:val="32"/>
          <w:lang w:val="en-US" w:eastAsia="zh-CN"/>
        </w:rPr>
      </w:pP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b/>
          <w:bCs/>
          <w:color w:val="auto"/>
          <w:sz w:val="32"/>
          <w:szCs w:val="32"/>
          <w:lang w:eastAsia="zh-CN"/>
        </w:rPr>
        <w:t>第二条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支持金融科技机构入驻发展</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推动金融科技领域领军企业和具有高成长潜力的创新型企业落地，加快形成金科新区产业集聚效益。</w:t>
      </w:r>
    </w:p>
    <w:p>
      <w:pPr>
        <w:keepNext w:val="0"/>
        <w:keepLines w:val="0"/>
        <w:pageBreakBefore w:val="0"/>
        <w:numPr>
          <w:ilvl w:val="0"/>
          <w:numId w:val="1"/>
        </w:numPr>
        <w:kinsoku/>
        <w:overflowPunct/>
        <w:topLinePunct w:val="0"/>
        <w:bidi w:val="0"/>
        <w:snapToGrid/>
        <w:spacing w:line="68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开办费用补贴。</w:t>
      </w:r>
      <w:r>
        <w:rPr>
          <w:rFonts w:hint="eastAsia" w:ascii="仿宋_GB2312" w:hAnsi="仿宋_GB2312" w:eastAsia="仿宋_GB2312" w:cs="仿宋_GB2312"/>
          <w:color w:val="auto"/>
          <w:sz w:val="32"/>
          <w:szCs w:val="32"/>
        </w:rPr>
        <w:t>对新设立或新迁入的具有重大行业影响力的金融科技企业、专业服务机构，按实收资本规模给予一次性开办费用补贴。</w:t>
      </w:r>
      <w:r>
        <w:rPr>
          <w:rFonts w:ascii="仿宋_GB2312" w:hAnsi="仿宋_GB2312" w:eastAsia="仿宋_GB2312" w:cs="仿宋_GB2312"/>
          <w:color w:val="auto"/>
          <w:sz w:val="32"/>
          <w:szCs w:val="32"/>
        </w:rPr>
        <w:t>5000万元（含）-1亿元的补助200万元，1亿元（含）-5亿元的补助500万元，5亿元（含）-10亿元的补助1000万元，10亿元（含）-30亿元的补助2000万元，30亿元（含）以上的补助5000万元</w:t>
      </w:r>
      <w:r>
        <w:rPr>
          <w:rFonts w:hint="eastAsia" w:ascii="仿宋_GB2312" w:hAnsi="仿宋_GB2312" w:eastAsia="仿宋_GB2312" w:cs="仿宋_GB2312"/>
          <w:color w:val="auto"/>
          <w:sz w:val="32"/>
          <w:szCs w:val="32"/>
        </w:rPr>
        <w:t>。</w:t>
      </w:r>
    </w:p>
    <w:p>
      <w:pPr>
        <w:keepNext w:val="0"/>
        <w:keepLines w:val="0"/>
        <w:pageBreakBefore w:val="0"/>
        <w:numPr>
          <w:ilvl w:val="-1"/>
          <w:numId w:val="0"/>
        </w:numPr>
        <w:kinsoku/>
        <w:overflowPunct/>
        <w:topLinePunct w:val="0"/>
        <w:bidi w:val="0"/>
        <w:snapToGrid/>
        <w:spacing w:line="680" w:lineRule="exact"/>
        <w:ind w:firstLine="640"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widowControl/>
        <w:numPr>
          <w:ilvl w:val="0"/>
          <w:numId w:val="1"/>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购租房补</w:t>
      </w:r>
      <w:r>
        <w:rPr>
          <w:rFonts w:hint="eastAsia" w:ascii="仿宋_GB2312" w:hAnsi="仿宋_GB2312" w:eastAsia="仿宋_GB2312" w:cs="仿宋_GB2312"/>
          <w:b/>
          <w:bCs/>
          <w:color w:val="auto"/>
          <w:sz w:val="32"/>
          <w:szCs w:val="32"/>
          <w:lang w:eastAsia="zh-CN"/>
        </w:rPr>
        <w:t>贴</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对新设立或新迁入的金融科技企业和专业服务机构新购置或租赁自用办公用房给予资金补贴。购买办公用房的，给予每平方米1500元补贴。租用办公用房的，根据企业和机构</w:t>
      </w: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rPr>
        <w:t>贡献、市场地位、未来影响等因素，经评定，按照实际房租的30%、50%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个档次给予资金补贴。补贴期限不超过三年，累计补贴不超过5000万元。</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widowControl/>
        <w:numPr>
          <w:ilvl w:val="0"/>
          <w:numId w:val="1"/>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增资</w:t>
      </w:r>
      <w:r>
        <w:rPr>
          <w:rFonts w:hint="eastAsia" w:ascii="仿宋_GB2312" w:hAnsi="仿宋_GB2312" w:eastAsia="仿宋_GB2312" w:cs="仿宋_GB2312"/>
          <w:b/>
          <w:bCs/>
          <w:color w:val="auto"/>
          <w:sz w:val="32"/>
          <w:szCs w:val="32"/>
          <w:lang w:eastAsia="zh-CN"/>
        </w:rPr>
        <w:t>和新设立子公司</w:t>
      </w:r>
      <w:r>
        <w:rPr>
          <w:rFonts w:hint="eastAsia" w:ascii="仿宋_GB2312" w:hAnsi="仿宋_GB2312" w:eastAsia="仿宋_GB2312" w:cs="仿宋_GB2312"/>
          <w:b/>
          <w:bCs/>
          <w:color w:val="auto"/>
          <w:sz w:val="32"/>
          <w:szCs w:val="32"/>
        </w:rPr>
        <w:t>补助</w:t>
      </w:r>
      <w:r>
        <w:rPr>
          <w:rFonts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驻区</w:t>
      </w:r>
      <w:r>
        <w:rPr>
          <w:rFonts w:ascii="仿宋_GB2312" w:hAnsi="仿宋_GB2312" w:eastAsia="仿宋_GB2312" w:cs="仿宋_GB2312"/>
          <w:color w:val="auto"/>
          <w:sz w:val="32"/>
          <w:szCs w:val="32"/>
        </w:rPr>
        <w:t>金融科技企业</w:t>
      </w:r>
      <w:r>
        <w:rPr>
          <w:rFonts w:hint="eastAsia" w:ascii="仿宋_GB2312" w:hAnsi="仿宋_GB2312" w:eastAsia="仿宋_GB2312" w:cs="仿宋_GB2312"/>
          <w:color w:val="auto"/>
          <w:sz w:val="32"/>
          <w:szCs w:val="32"/>
        </w:rPr>
        <w:t>实收资本增资的</w:t>
      </w:r>
      <w:r>
        <w:rPr>
          <w:rFonts w:ascii="仿宋_GB2312" w:hAnsi="仿宋_GB2312" w:eastAsia="仿宋_GB2312" w:cs="仿宋_GB2312"/>
          <w:color w:val="auto"/>
          <w:sz w:val="32"/>
          <w:szCs w:val="32"/>
        </w:rPr>
        <w:t>，增资1亿元（含）-10亿元的，根据其</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突出贡献经评定后一次性</w:t>
      </w:r>
      <w:r>
        <w:rPr>
          <w:rFonts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不超过</w:t>
      </w:r>
      <w:r>
        <w:rPr>
          <w:rFonts w:ascii="仿宋_GB2312" w:hAnsi="仿宋_GB2312" w:eastAsia="仿宋_GB2312" w:cs="仿宋_GB2312"/>
          <w:color w:val="auto"/>
          <w:sz w:val="32"/>
          <w:szCs w:val="32"/>
        </w:rPr>
        <w:t>100万元补助，实收资本增资10亿元（含）以上的，根据其</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eastAsia="zh-CN"/>
        </w:rPr>
        <w:t>突出贡献经评定后</w:t>
      </w:r>
      <w:r>
        <w:rPr>
          <w:rFonts w:ascii="仿宋_GB2312" w:hAnsi="仿宋_GB2312" w:eastAsia="仿宋_GB2312" w:cs="仿宋_GB2312"/>
          <w:color w:val="auto"/>
          <w:sz w:val="32"/>
          <w:szCs w:val="32"/>
        </w:rPr>
        <w:t>分</w:t>
      </w:r>
      <w:r>
        <w:rPr>
          <w:rFonts w:hint="eastAsia" w:ascii="仿宋_GB2312" w:hAnsi="仿宋_GB2312" w:eastAsia="仿宋_GB2312" w:cs="仿宋_GB2312"/>
          <w:color w:val="auto"/>
          <w:sz w:val="32"/>
          <w:szCs w:val="32"/>
        </w:rPr>
        <w:t>年度</w:t>
      </w:r>
      <w:r>
        <w:rPr>
          <w:rFonts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eastAsia="zh-CN"/>
        </w:rPr>
        <w:t>不超过</w:t>
      </w:r>
      <w:r>
        <w:rPr>
          <w:rFonts w:ascii="仿宋_GB2312" w:hAnsi="仿宋_GB2312" w:eastAsia="仿宋_GB2312" w:cs="仿宋_GB2312"/>
          <w:color w:val="auto"/>
          <w:sz w:val="32"/>
          <w:szCs w:val="32"/>
        </w:rPr>
        <w:t>1000万元</w:t>
      </w:r>
      <w:r>
        <w:rPr>
          <w:rFonts w:hint="eastAsia" w:ascii="仿宋_GB2312" w:hAnsi="仿宋_GB2312" w:eastAsia="仿宋_GB2312" w:cs="仿宋_GB2312"/>
          <w:color w:val="auto"/>
          <w:sz w:val="32"/>
          <w:szCs w:val="32"/>
          <w:lang w:eastAsia="zh-CN"/>
        </w:rPr>
        <w:t>补助</w:t>
      </w:r>
      <w:r>
        <w:rPr>
          <w:rFonts w:hint="eastAsia" w:ascii="仿宋_GB2312" w:hAnsi="仿宋_GB2312" w:eastAsia="仿宋_GB2312" w:cs="仿宋_GB2312"/>
          <w:color w:val="auto"/>
          <w:sz w:val="32"/>
          <w:szCs w:val="32"/>
        </w:rPr>
        <w:t>。驻区金融科技企业新</w:t>
      </w:r>
      <w:r>
        <w:rPr>
          <w:rFonts w:hint="eastAsia" w:ascii="仿宋_GB2312" w:hAnsi="仿宋_GB2312" w:eastAsia="仿宋_GB2312" w:cs="仿宋_GB2312"/>
          <w:color w:val="auto"/>
          <w:sz w:val="32"/>
          <w:szCs w:val="32"/>
          <w:lang w:eastAsia="zh-CN"/>
        </w:rPr>
        <w:t>设立控股子公司</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经认定</w:t>
      </w:r>
      <w:r>
        <w:rPr>
          <w:rFonts w:ascii="仿宋_GB2312" w:hAnsi="仿宋_GB2312" w:eastAsia="仿宋_GB2312" w:cs="仿宋_GB2312"/>
          <w:color w:val="auto"/>
          <w:sz w:val="32"/>
          <w:szCs w:val="32"/>
        </w:rPr>
        <w:t>按照对新</w:t>
      </w:r>
      <w:r>
        <w:rPr>
          <w:rFonts w:hint="eastAsia" w:ascii="仿宋_GB2312" w:hAnsi="仿宋_GB2312" w:eastAsia="仿宋_GB2312" w:cs="仿宋_GB2312"/>
          <w:color w:val="auto"/>
          <w:sz w:val="32"/>
          <w:szCs w:val="32"/>
          <w:lang w:eastAsia="zh-CN"/>
        </w:rPr>
        <w:t>设立子公司</w:t>
      </w:r>
      <w:r>
        <w:rPr>
          <w:rFonts w:ascii="仿宋_GB2312" w:hAnsi="仿宋_GB2312" w:eastAsia="仿宋_GB2312" w:cs="仿宋_GB2312"/>
          <w:color w:val="auto"/>
          <w:sz w:val="32"/>
          <w:szCs w:val="32"/>
        </w:rPr>
        <w:t>实收资本投资或出资金额的10%，</w:t>
      </w:r>
      <w:r>
        <w:rPr>
          <w:rFonts w:hint="eastAsia" w:ascii="仿宋_GB2312" w:hAnsi="仿宋_GB2312" w:eastAsia="仿宋_GB2312" w:cs="仿宋_GB2312"/>
          <w:color w:val="auto"/>
          <w:sz w:val="32"/>
          <w:szCs w:val="32"/>
        </w:rPr>
        <w:t>给予总额不超过1000 万元补助。</w:t>
      </w:r>
    </w:p>
    <w:p>
      <w:pPr>
        <w:keepNext w:val="0"/>
        <w:keepLines w:val="0"/>
        <w:pageBreakBefore w:val="0"/>
        <w:widowControl/>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0"/>
          <w:numId w:val="1"/>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发展贡献奖励。</w:t>
      </w:r>
      <w:r>
        <w:rPr>
          <w:rFonts w:hint="eastAsia" w:ascii="仿宋_GB2312" w:hAnsi="仿宋_GB2312" w:eastAsia="仿宋_GB2312" w:cs="仿宋_GB2312"/>
          <w:color w:val="auto"/>
          <w:sz w:val="32"/>
          <w:szCs w:val="32"/>
        </w:rPr>
        <w:t>每年安排专项资金，对上年度为西城区域经济社会发展做出突出贡献的金融科技企业和专业服务机构给予综合服务奖励。 </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黑体" w:hAnsi="黑体" w:eastAsia="黑体" w:cs="黑体"/>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kinsoku/>
        <w:overflowPunct/>
        <w:topLinePunct w:val="0"/>
        <w:bidi w:val="0"/>
        <w:snapToGrid/>
        <w:spacing w:line="680" w:lineRule="exact"/>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numPr>
          <w:ilvl w:val="-1"/>
          <w:numId w:val="0"/>
        </w:numPr>
        <w:kinsoku/>
        <w:overflowPunct/>
        <w:topLinePunct w:val="0"/>
        <w:bidi w:val="0"/>
        <w:snapToGrid/>
        <w:spacing w:line="680" w:lineRule="exact"/>
        <w:ind w:left="0" w:firstLine="643" w:firstLineChars="200"/>
        <w:textAlignment w:val="auto"/>
        <w:outlineLvl w:val="0"/>
        <w:rPr>
          <w:rFonts w:ascii="黑体" w:hAnsi="黑体" w:eastAsia="仿宋_GB2312" w:cs="黑体"/>
          <w:color w:val="auto"/>
          <w:sz w:val="32"/>
          <w:szCs w:val="32"/>
        </w:rPr>
      </w:pPr>
      <w:r>
        <w:rPr>
          <w:rFonts w:hint="eastAsia" w:ascii="仿宋_GB2312" w:hAnsi="仿宋_GB2312" w:eastAsia="仿宋_GB2312" w:cs="仿宋_GB2312"/>
          <w:b/>
          <w:bCs/>
          <w:color w:val="auto"/>
          <w:sz w:val="32"/>
          <w:szCs w:val="32"/>
          <w:lang w:eastAsia="zh-CN"/>
        </w:rPr>
        <w:t>第三条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支持金融科技前沿技术创新</w:t>
      </w:r>
      <w:r>
        <w:rPr>
          <w:rFonts w:hint="eastAsia" w:ascii="仿宋_GB2312" w:hAnsi="仿宋_GB2312" w:eastAsia="仿宋_GB2312" w:cs="仿宋_GB2312"/>
          <w:b/>
          <w:bCs/>
          <w:color w:val="auto"/>
          <w:sz w:val="32"/>
          <w:szCs w:val="32"/>
          <w:lang w:eastAsia="zh-CN"/>
        </w:rPr>
        <w:t>。</w:t>
      </w:r>
      <w:r>
        <w:rPr>
          <w:rFonts w:hint="eastAsia" w:ascii="仿宋_GB2312" w:eastAsia="仿宋_GB2312"/>
          <w:color w:val="auto"/>
          <w:sz w:val="32"/>
          <w:szCs w:val="32"/>
          <w:lang w:eastAsia="zh-CN"/>
        </w:rPr>
        <w:t>引导企业持续加大研发投入，开展关键技术创新，不断提升企业创新实力和核心竞争力</w:t>
      </w:r>
      <w:r>
        <w:rPr>
          <w:rFonts w:hint="eastAsia" w:ascii="仿宋_GB2312" w:eastAsia="仿宋_GB2312"/>
          <w:color w:val="auto"/>
          <w:sz w:val="32"/>
          <w:szCs w:val="32"/>
        </w:rPr>
        <w:t>。</w:t>
      </w:r>
    </w:p>
    <w:p>
      <w:pPr>
        <w:keepNext w:val="0"/>
        <w:keepLines w:val="0"/>
        <w:pageBreakBefore w:val="0"/>
        <w:numPr>
          <w:ilvl w:val="0"/>
          <w:numId w:val="2"/>
        </w:numPr>
        <w:kinsoku/>
        <w:overflowPunct/>
        <w:topLinePunct w:val="0"/>
        <w:bidi w:val="0"/>
        <w:snapToGrid/>
        <w:spacing w:line="680" w:lineRule="exact"/>
        <w:ind w:firstLine="640"/>
        <w:jc w:val="both"/>
        <w:textAlignment w:val="auto"/>
        <w:outlineLvl w:val="0"/>
        <w:rPr>
          <w:rFonts w:hint="eastAsia" w:ascii="仿宋_GB2312" w:eastAsia="仿宋_GB2312"/>
          <w:color w:val="auto"/>
          <w:sz w:val="32"/>
          <w:szCs w:val="32"/>
        </w:rPr>
      </w:pPr>
      <w:r>
        <w:rPr>
          <w:rFonts w:hint="eastAsia" w:ascii="仿宋_GB2312" w:hAnsi="仿宋_GB2312" w:eastAsia="仿宋_GB2312" w:cs="仿宋_GB2312"/>
          <w:b/>
          <w:bCs/>
          <w:color w:val="auto"/>
          <w:sz w:val="32"/>
          <w:szCs w:val="32"/>
        </w:rPr>
        <w:t>支持金融科技底层关键技术创新。</w:t>
      </w:r>
      <w:r>
        <w:rPr>
          <w:rFonts w:hint="eastAsia" w:ascii="仿宋_GB2312" w:eastAsia="仿宋_GB2312"/>
          <w:color w:val="auto"/>
          <w:sz w:val="32"/>
          <w:szCs w:val="32"/>
        </w:rPr>
        <w:t>围绕金融机构发展金融科技的规划和需求，支持符合条件的金融科技企业开展人工智能、大数据、互联技术、分布式技术、安全技术等底层关键技术创新。按照不超过项目预算经费的</w:t>
      </w:r>
      <w:r>
        <w:rPr>
          <w:rFonts w:hint="eastAsia" w:ascii="仿宋_GB2312" w:eastAsia="仿宋_GB2312"/>
          <w:color w:val="auto"/>
          <w:sz w:val="32"/>
          <w:szCs w:val="32"/>
          <w:lang w:eastAsia="zh-CN"/>
        </w:rPr>
        <w:t>一定比例</w:t>
      </w:r>
      <w:r>
        <w:rPr>
          <w:rFonts w:hint="eastAsia" w:ascii="仿宋_GB2312" w:eastAsia="仿宋_GB2312"/>
          <w:color w:val="auto"/>
          <w:sz w:val="32"/>
          <w:szCs w:val="32"/>
        </w:rPr>
        <w:t>给予金融科技企业研发资金支持，每个项目支持金额不超过500万元。</w:t>
      </w:r>
    </w:p>
    <w:p>
      <w:pPr>
        <w:keepNext w:val="0"/>
        <w:keepLines w:val="0"/>
        <w:pageBreakBefore w:val="0"/>
        <w:numPr>
          <w:ilvl w:val="-1"/>
          <w:numId w:val="0"/>
        </w:numPr>
        <w:kinsoku/>
        <w:overflowPunct/>
        <w:topLinePunct w:val="0"/>
        <w:bidi w:val="0"/>
        <w:snapToGrid/>
        <w:spacing w:line="680" w:lineRule="exact"/>
        <w:ind w:firstLine="640" w:firstLineChars="200"/>
        <w:jc w:val="left"/>
        <w:textAlignment w:val="auto"/>
        <w:outlineLvl w:val="0"/>
        <w:rPr>
          <w:rFonts w:ascii="仿宋_GB2312" w:eastAsia="仿宋_GB2312"/>
          <w:color w:val="auto"/>
          <w:sz w:val="32"/>
          <w:szCs w:val="32"/>
        </w:rPr>
      </w:pPr>
      <w:r>
        <w:rPr>
          <w:rFonts w:hint="eastAsia" w:ascii="仿宋_GB2312" w:eastAsia="仿宋_GB2312"/>
          <w:color w:val="auto"/>
          <w:sz w:val="32"/>
          <w:szCs w:val="32"/>
        </w:rPr>
        <w:t>（实施单位：市科委、中关村管委会）</w:t>
      </w:r>
    </w:p>
    <w:p>
      <w:pPr>
        <w:keepNext w:val="0"/>
        <w:keepLines w:val="0"/>
        <w:pageBreakBefore w:val="0"/>
        <w:numPr>
          <w:ilvl w:val="0"/>
          <w:numId w:val="2"/>
        </w:numPr>
        <w:kinsoku/>
        <w:overflowPunct/>
        <w:topLinePunct w:val="0"/>
        <w:bidi w:val="0"/>
        <w:snapToGrid/>
        <w:spacing w:line="680" w:lineRule="exact"/>
        <w:ind w:firstLine="640"/>
        <w:textAlignment w:val="auto"/>
        <w:rPr>
          <w:rFonts w:hint="eastAsia" w:ascii="Times New Roman" w:hAnsi="Times New Roman" w:eastAsia="仿宋_GB2312"/>
          <w:color w:val="auto"/>
          <w:sz w:val="32"/>
          <w:szCs w:val="32"/>
        </w:rPr>
      </w:pPr>
      <w:r>
        <w:rPr>
          <w:rFonts w:hint="eastAsia" w:ascii="仿宋_GB2312" w:hAnsi="仿宋_GB2312" w:eastAsia="仿宋_GB2312" w:cs="仿宋_GB2312"/>
          <w:b/>
          <w:bCs/>
          <w:color w:val="auto"/>
          <w:sz w:val="32"/>
          <w:szCs w:val="32"/>
        </w:rPr>
        <w:t>支持</w:t>
      </w:r>
      <w:r>
        <w:rPr>
          <w:rFonts w:hint="eastAsia" w:ascii="仿宋_GB2312" w:hAnsi="仿宋_GB2312" w:eastAsia="仿宋_GB2312" w:cs="仿宋_GB2312"/>
          <w:b/>
          <w:bCs/>
          <w:color w:val="auto"/>
          <w:sz w:val="32"/>
          <w:szCs w:val="32"/>
          <w:lang w:eastAsia="zh-CN"/>
        </w:rPr>
        <w:t>金融科技创新</w:t>
      </w:r>
      <w:r>
        <w:rPr>
          <w:rFonts w:hint="eastAsia" w:ascii="仿宋_GB2312" w:hAnsi="仿宋_GB2312" w:eastAsia="仿宋_GB2312" w:cs="仿宋_GB2312"/>
          <w:b/>
          <w:bCs/>
          <w:color w:val="auto"/>
          <w:sz w:val="32"/>
          <w:szCs w:val="32"/>
        </w:rPr>
        <w:t>。</w:t>
      </w:r>
      <w:r>
        <w:rPr>
          <w:rFonts w:hint="eastAsia" w:ascii="Times New Roman" w:hAnsi="Times New Roman" w:eastAsia="仿宋_GB2312"/>
          <w:color w:val="auto"/>
          <w:sz w:val="32"/>
          <w:szCs w:val="32"/>
        </w:rPr>
        <w:t>企业承担国家、北京市科技重大专项按照1:1、1:0.5的比例给予配套资金支持，年度配套资金总额不超过150万元。企业自建</w:t>
      </w:r>
      <w:r>
        <w:rPr>
          <w:rFonts w:hint="eastAsia" w:ascii="Times New Roman" w:hAnsi="Times New Roman" w:eastAsia="仿宋_GB2312"/>
          <w:color w:val="auto"/>
          <w:sz w:val="32"/>
          <w:szCs w:val="32"/>
          <w:lang w:eastAsia="zh-CN"/>
        </w:rPr>
        <w:t>金融科技领域</w:t>
      </w:r>
      <w:r>
        <w:rPr>
          <w:rFonts w:hint="eastAsia" w:ascii="Times New Roman" w:hAnsi="Times New Roman" w:eastAsia="仿宋_GB2312"/>
          <w:color w:val="auto"/>
          <w:sz w:val="32"/>
          <w:szCs w:val="32"/>
        </w:rPr>
        <w:t>研发机构并获得国家级、市级工程（技术）研究中心、重点实验室等创新平台资质的，或获得国家级、市级</w:t>
      </w:r>
      <w:r>
        <w:rPr>
          <w:rFonts w:hint="eastAsia" w:ascii="Times New Roman" w:hAnsi="Times New Roman" w:eastAsia="仿宋_GB2312"/>
          <w:color w:val="auto"/>
          <w:sz w:val="32"/>
          <w:szCs w:val="32"/>
          <w:lang w:eastAsia="zh-CN"/>
        </w:rPr>
        <w:t>金融创新或</w:t>
      </w:r>
      <w:r>
        <w:rPr>
          <w:rFonts w:hint="eastAsia" w:ascii="Times New Roman" w:hAnsi="Times New Roman" w:eastAsia="仿宋_GB2312"/>
          <w:color w:val="auto"/>
          <w:sz w:val="32"/>
          <w:szCs w:val="32"/>
        </w:rPr>
        <w:t>金融科技奖项的，给予一次性资金奖励，年度奖励资金总额不超过100</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万元。</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255"/>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numPr>
          <w:ilvl w:val="-1"/>
          <w:numId w:val="0"/>
        </w:numPr>
        <w:kinsoku/>
        <w:overflowPunct/>
        <w:topLinePunct w:val="0"/>
        <w:bidi w:val="0"/>
        <w:snapToGrid/>
        <w:spacing w:line="680" w:lineRule="exact"/>
        <w:ind w:left="640" w:leftChars="0" w:firstLine="0" w:firstLineChars="0"/>
        <w:textAlignment w:val="auto"/>
        <w:outlineLvl w:val="0"/>
        <w:rPr>
          <w:rFonts w:ascii="Times New Roman" w:hAnsi="Times New Roman" w:eastAsia="仿宋_GB2312"/>
          <w:color w:val="auto"/>
          <w:sz w:val="32"/>
          <w:szCs w:val="32"/>
        </w:rPr>
      </w:pPr>
      <w:r>
        <w:rPr>
          <w:rFonts w:hint="eastAsia" w:ascii="仿宋_GB2312" w:hAnsi="仿宋_GB2312" w:eastAsia="仿宋_GB2312" w:cs="仿宋_GB2312"/>
          <w:b/>
          <w:bCs/>
          <w:color w:val="auto"/>
          <w:sz w:val="32"/>
          <w:szCs w:val="32"/>
          <w:lang w:eastAsia="zh-CN"/>
        </w:rPr>
        <w:t>第四条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支持金融科技应用场景示范</w:t>
      </w:r>
      <w:r>
        <w:rPr>
          <w:rFonts w:hint="eastAsia" w:ascii="仿宋_GB2312" w:hAnsi="仿宋_GB2312" w:eastAsia="仿宋_GB2312" w:cs="仿宋_GB2312"/>
          <w:b/>
          <w:bCs/>
          <w:color w:val="auto"/>
          <w:sz w:val="32"/>
          <w:szCs w:val="32"/>
          <w:lang w:eastAsia="zh-CN"/>
        </w:rPr>
        <w:t>。</w:t>
      </w:r>
      <w:r>
        <w:rPr>
          <w:rFonts w:hint="eastAsia" w:ascii="Times New Roman" w:hAnsi="Times New Roman" w:eastAsia="仿宋_GB2312"/>
          <w:color w:val="auto"/>
          <w:sz w:val="32"/>
          <w:szCs w:val="32"/>
        </w:rPr>
        <w:t>围绕国家金融科</w:t>
      </w:r>
    </w:p>
    <w:p>
      <w:pPr>
        <w:keepNext w:val="0"/>
        <w:keepLines w:val="0"/>
        <w:pageBreakBefore w:val="0"/>
        <w:numPr>
          <w:ilvl w:val="0"/>
          <w:numId w:val="0"/>
        </w:numPr>
        <w:kinsoku/>
        <w:overflowPunct/>
        <w:topLinePunct w:val="0"/>
        <w:bidi w:val="0"/>
        <w:snapToGrid/>
        <w:spacing w:line="680" w:lineRule="exact"/>
        <w:textAlignment w:val="auto"/>
        <w:outlineLvl w:val="0"/>
        <w:rPr>
          <w:rFonts w:ascii="Times New Roman" w:hAnsi="Times New Roman" w:eastAsia="仿宋_GB2312"/>
          <w:color w:val="auto"/>
          <w:sz w:val="32"/>
          <w:szCs w:val="32"/>
        </w:rPr>
      </w:pPr>
      <w:r>
        <w:rPr>
          <w:rFonts w:hint="eastAsia" w:ascii="Times New Roman" w:hAnsi="Times New Roman" w:eastAsia="仿宋_GB2312"/>
          <w:color w:val="auto"/>
          <w:sz w:val="32"/>
          <w:szCs w:val="32"/>
        </w:rPr>
        <w:t>技发展重大需求，对技术创新高、行业带动强、示范效果好的应用场景建设项目给予支持</w:t>
      </w:r>
      <w:r>
        <w:rPr>
          <w:rFonts w:hint="eastAsia" w:ascii="Times New Roman" w:hAnsi="Times New Roman" w:eastAsia="仿宋_GB2312"/>
          <w:color w:val="auto"/>
          <w:sz w:val="32"/>
          <w:szCs w:val="32"/>
          <w:lang w:eastAsia="zh-CN"/>
        </w:rPr>
        <w:t>，推动金融科技前沿技术与传统金融业务深度融合发展</w:t>
      </w:r>
      <w:r>
        <w:rPr>
          <w:rFonts w:hint="eastAsia" w:ascii="Times New Roman" w:hAnsi="Times New Roman" w:eastAsia="仿宋_GB2312"/>
          <w:color w:val="auto"/>
          <w:sz w:val="32"/>
          <w:szCs w:val="32"/>
        </w:rPr>
        <w:t>。</w:t>
      </w:r>
    </w:p>
    <w:p>
      <w:pPr>
        <w:keepNext w:val="0"/>
        <w:keepLines w:val="0"/>
        <w:pageBreakBefore w:val="0"/>
        <w:numPr>
          <w:ilvl w:val="0"/>
          <w:numId w:val="3"/>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支持拓展金融科技应用场景。</w:t>
      </w:r>
      <w:r>
        <w:rPr>
          <w:rFonts w:hint="eastAsia" w:ascii="仿宋_GB2312" w:hAnsi="仿宋_GB2312" w:eastAsia="仿宋_GB2312" w:cs="仿宋_GB2312"/>
          <w:color w:val="auto"/>
          <w:sz w:val="32"/>
          <w:szCs w:val="32"/>
        </w:rPr>
        <w:t>支持金融科技企业经国家或北京市金融监管部门、金融科技功能区、金融机构批准，围绕金融服务、安全监管等应用场景开展重大应用示范，对技术创新度高、行业带动性强、示范效果好的项目，按照不超过项目预算经费或应用示范合同金额的</w:t>
      </w:r>
      <w:r>
        <w:rPr>
          <w:rFonts w:hint="eastAsia" w:ascii="仿宋_GB2312" w:hAnsi="仿宋_GB2312" w:eastAsia="仿宋_GB2312" w:cs="仿宋_GB2312"/>
          <w:color w:val="auto"/>
          <w:sz w:val="32"/>
          <w:szCs w:val="32"/>
          <w:lang w:eastAsia="zh-CN"/>
        </w:rPr>
        <w:t>一定比例</w:t>
      </w:r>
      <w:r>
        <w:rPr>
          <w:rFonts w:hint="eastAsia" w:ascii="仿宋_GB2312" w:hAnsi="仿宋_GB2312" w:eastAsia="仿宋_GB2312" w:cs="仿宋_GB2312"/>
          <w:color w:val="auto"/>
          <w:sz w:val="32"/>
          <w:szCs w:val="32"/>
        </w:rPr>
        <w:t>给予金融科技企业资金支持，每个项目支持金额不超过500万元。</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eastAsia="仿宋_GB2312"/>
          <w:color w:val="auto"/>
          <w:sz w:val="32"/>
          <w:szCs w:val="32"/>
        </w:rPr>
        <w:t>（实施单位：市科委、中关村管委会）</w:t>
      </w:r>
    </w:p>
    <w:p>
      <w:pPr>
        <w:keepNext w:val="0"/>
        <w:keepLines w:val="0"/>
        <w:pageBreakBefore w:val="0"/>
        <w:numPr>
          <w:ilvl w:val="0"/>
          <w:numId w:val="3"/>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支持应用场景示范项目落地。</w:t>
      </w:r>
      <w:r>
        <w:rPr>
          <w:rFonts w:hint="eastAsia" w:ascii="仿宋_GB2312" w:hAnsi="仿宋_GB2312" w:eastAsia="仿宋_GB2312" w:cs="仿宋_GB2312"/>
          <w:color w:val="auto"/>
          <w:sz w:val="32"/>
          <w:szCs w:val="32"/>
        </w:rPr>
        <w:t>对获得</w:t>
      </w:r>
      <w:r>
        <w:rPr>
          <w:rFonts w:hint="eastAsia" w:ascii="仿宋_GB2312" w:hAnsi="仿宋_GB2312" w:eastAsia="仿宋_GB2312" w:cs="仿宋_GB2312"/>
          <w:color w:val="auto"/>
          <w:sz w:val="32"/>
          <w:szCs w:val="32"/>
          <w:lang w:eastAsia="zh-CN"/>
        </w:rPr>
        <w:t>本条第一款</w:t>
      </w:r>
      <w:r>
        <w:rPr>
          <w:rFonts w:hint="eastAsia" w:ascii="仿宋_GB2312" w:hAnsi="仿宋_GB2312" w:eastAsia="仿宋_GB2312" w:cs="仿宋_GB2312"/>
          <w:color w:val="auto"/>
          <w:sz w:val="32"/>
          <w:szCs w:val="32"/>
        </w:rPr>
        <w:t>支持且在西城区落地的金融科技应用场景项目，按照1:0.5的比例给予配套资金支持。</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pStyle w:val="3"/>
        <w:keepNext w:val="0"/>
        <w:keepLines w:val="0"/>
        <w:pageBreakBefore w:val="0"/>
        <w:kinsoku/>
        <w:overflowPunct/>
        <w:topLinePunct w:val="0"/>
        <w:bidi w:val="0"/>
        <w:snapToGrid/>
        <w:spacing w:line="680" w:lineRule="exact"/>
        <w:textAlignment w:val="auto"/>
        <w:rPr>
          <w:color w:val="auto"/>
        </w:rPr>
      </w:pPr>
    </w:p>
    <w:p>
      <w:pPr>
        <w:keepNext w:val="0"/>
        <w:keepLines w:val="0"/>
        <w:pageBreakBefore w:val="0"/>
        <w:numPr>
          <w:ilvl w:val="-1"/>
          <w:numId w:val="0"/>
        </w:numPr>
        <w:kinsoku/>
        <w:overflowPunct/>
        <w:topLinePunct w:val="0"/>
        <w:bidi w:val="0"/>
        <w:snapToGrid/>
        <w:spacing w:line="680" w:lineRule="exact"/>
        <w:ind w:left="640" w:leftChars="0" w:firstLine="0" w:firstLineChars="0"/>
        <w:textAlignment w:val="auto"/>
        <w:outlineLvl w:val="0"/>
        <w:rPr>
          <w:rFonts w:ascii="黑体" w:hAnsi="黑体" w:eastAsia="黑体" w:cs="黑体"/>
          <w:color w:val="auto"/>
          <w:sz w:val="32"/>
          <w:szCs w:val="32"/>
        </w:rPr>
      </w:pPr>
      <w:r>
        <w:rPr>
          <w:rFonts w:hint="eastAsia" w:ascii="仿宋_GB2312" w:hAnsi="仿宋_GB2312" w:eastAsia="仿宋_GB2312" w:cs="仿宋_GB2312"/>
          <w:b/>
          <w:bCs/>
          <w:color w:val="auto"/>
          <w:sz w:val="32"/>
          <w:szCs w:val="32"/>
          <w:lang w:eastAsia="zh-CN"/>
        </w:rPr>
        <w:t>第五条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支持创新监管工具及成果转化</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支持企业积极</w:t>
      </w:r>
    </w:p>
    <w:p>
      <w:pPr>
        <w:keepNext w:val="0"/>
        <w:keepLines w:val="0"/>
        <w:pageBreakBefore w:val="0"/>
        <w:numPr>
          <w:ilvl w:val="0"/>
          <w:numId w:val="0"/>
        </w:numPr>
        <w:kinsoku/>
        <w:overflowPunct/>
        <w:topLinePunct w:val="0"/>
        <w:bidi w:val="0"/>
        <w:snapToGrid/>
        <w:spacing w:line="680" w:lineRule="exact"/>
        <w:textAlignment w:val="auto"/>
        <w:outlineLvl w:val="0"/>
        <w:rPr>
          <w:rFonts w:ascii="黑体" w:hAnsi="黑体" w:eastAsia="黑体" w:cs="黑体"/>
          <w:color w:val="auto"/>
          <w:sz w:val="32"/>
          <w:szCs w:val="32"/>
        </w:rPr>
      </w:pPr>
      <w:r>
        <w:rPr>
          <w:rFonts w:hint="eastAsia" w:ascii="仿宋_GB2312" w:hAnsi="仿宋_GB2312" w:eastAsia="仿宋_GB2312" w:cs="仿宋_GB2312"/>
          <w:color w:val="auto"/>
          <w:sz w:val="32"/>
          <w:szCs w:val="32"/>
        </w:rPr>
        <w:t>参与金融科技创新监管工具和资本市场金融科技创新监管试点等金融科技创新监管项目</w:t>
      </w:r>
      <w:r>
        <w:rPr>
          <w:rFonts w:hint="eastAsia" w:ascii="仿宋_GB2312" w:hAnsi="仿宋_GB2312" w:eastAsia="仿宋_GB2312" w:cs="仿宋_GB2312"/>
          <w:color w:val="auto"/>
          <w:sz w:val="32"/>
          <w:szCs w:val="32"/>
          <w:lang w:eastAsia="zh-CN"/>
        </w:rPr>
        <w:t>，打造全国金融科技创新先行先试发展示范高地</w:t>
      </w:r>
      <w:r>
        <w:rPr>
          <w:rFonts w:hint="eastAsia" w:ascii="仿宋_GB2312" w:hAnsi="仿宋_GB2312" w:eastAsia="仿宋_GB2312" w:cs="仿宋_GB2312"/>
          <w:color w:val="auto"/>
          <w:sz w:val="32"/>
          <w:szCs w:val="32"/>
        </w:rPr>
        <w:t>。</w:t>
      </w:r>
    </w:p>
    <w:p>
      <w:pPr>
        <w:keepNext w:val="0"/>
        <w:keepLines w:val="0"/>
        <w:pageBreakBefore w:val="0"/>
        <w:numPr>
          <w:ilvl w:val="0"/>
          <w:numId w:val="4"/>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支持争取金融科技创新工具项目。</w:t>
      </w:r>
      <w:r>
        <w:rPr>
          <w:rFonts w:hint="eastAsia" w:ascii="仿宋_GB2312" w:hAnsi="仿宋_GB2312" w:eastAsia="仿宋_GB2312" w:cs="仿宋_GB2312"/>
          <w:color w:val="auto"/>
          <w:sz w:val="32"/>
          <w:szCs w:val="32"/>
        </w:rPr>
        <w:t>加强与国家金融管理部门及其</w:t>
      </w:r>
      <w:r>
        <w:rPr>
          <w:rFonts w:hint="eastAsia" w:ascii="仿宋_GB2312" w:hAnsi="仿宋_GB2312" w:eastAsia="仿宋_GB2312" w:cs="仿宋_GB2312"/>
          <w:color w:val="auto"/>
          <w:sz w:val="32"/>
          <w:szCs w:val="32"/>
          <w:lang w:eastAsia="zh-CN"/>
        </w:rPr>
        <w:t>在京派出机构</w:t>
      </w:r>
      <w:r>
        <w:rPr>
          <w:rFonts w:hint="eastAsia" w:ascii="仿宋_GB2312" w:hAnsi="仿宋_GB2312" w:eastAsia="仿宋_GB2312" w:cs="仿宋_GB2312"/>
          <w:color w:val="auto"/>
          <w:sz w:val="32"/>
          <w:szCs w:val="32"/>
        </w:rPr>
        <w:t>对接，加大对优质金融科技项目的培育和辅导，协助其积极申请</w:t>
      </w:r>
      <w:r>
        <w:rPr>
          <w:rFonts w:hint="eastAsia" w:ascii="仿宋_GB2312" w:hAnsi="仿宋_GB2312" w:eastAsia="仿宋_GB2312" w:cs="仿宋_GB2312"/>
          <w:color w:val="auto"/>
          <w:sz w:val="32"/>
          <w:szCs w:val="32"/>
          <w:lang w:eastAsia="zh-CN"/>
        </w:rPr>
        <w:t>创新监管</w:t>
      </w:r>
      <w:r>
        <w:rPr>
          <w:rFonts w:hint="eastAsia" w:ascii="仿宋_GB2312" w:hAnsi="仿宋_GB2312" w:eastAsia="仿宋_GB2312" w:cs="仿宋_GB2312"/>
          <w:color w:val="auto"/>
          <w:sz w:val="32"/>
          <w:szCs w:val="32"/>
        </w:rPr>
        <w:t>项目，推荐获得市级支持的应用场景项目纳入北京市</w:t>
      </w:r>
      <w:r>
        <w:rPr>
          <w:rFonts w:hint="eastAsia" w:ascii="仿宋_GB2312" w:hAnsi="仿宋_GB2312" w:eastAsia="仿宋_GB2312" w:cs="仿宋_GB2312"/>
          <w:color w:val="auto"/>
          <w:sz w:val="32"/>
          <w:szCs w:val="32"/>
          <w:lang w:eastAsia="zh-CN"/>
        </w:rPr>
        <w:t>创新监管</w:t>
      </w:r>
      <w:r>
        <w:rPr>
          <w:rFonts w:hint="eastAsia" w:ascii="仿宋_GB2312" w:hAnsi="仿宋_GB2312" w:eastAsia="仿宋_GB2312" w:cs="仿宋_GB2312"/>
          <w:color w:val="auto"/>
          <w:sz w:val="32"/>
          <w:szCs w:val="32"/>
        </w:rPr>
        <w:t>项目。</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（实施单位：市金融监管局、西城区政府）</w:t>
      </w:r>
    </w:p>
    <w:p>
      <w:pPr>
        <w:keepNext w:val="0"/>
        <w:keepLines w:val="0"/>
        <w:pageBreakBefore w:val="0"/>
        <w:numPr>
          <w:ilvl w:val="0"/>
          <w:numId w:val="4"/>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推动创新监管项目成果转化。</w:t>
      </w:r>
      <w:r>
        <w:rPr>
          <w:rFonts w:hint="eastAsia" w:ascii="仿宋_GB2312" w:hAnsi="仿宋_GB2312" w:eastAsia="仿宋_GB2312" w:cs="仿宋_GB2312"/>
          <w:color w:val="auto"/>
          <w:sz w:val="32"/>
          <w:szCs w:val="32"/>
        </w:rPr>
        <w:t>支持成功</w:t>
      </w:r>
      <w:r>
        <w:rPr>
          <w:rFonts w:hint="eastAsia" w:ascii="仿宋_GB2312" w:hAnsi="仿宋_GB2312" w:eastAsia="仿宋_GB2312" w:cs="仿宋_GB2312"/>
          <w:color w:val="auto"/>
          <w:sz w:val="32"/>
          <w:szCs w:val="32"/>
          <w:lang w:eastAsia="zh-CN"/>
        </w:rPr>
        <w:t>通过测试的创新监管</w:t>
      </w:r>
      <w:r>
        <w:rPr>
          <w:rFonts w:hint="eastAsia" w:ascii="仿宋_GB2312" w:hAnsi="仿宋_GB2312" w:eastAsia="仿宋_GB2312" w:cs="仿宋_GB2312"/>
          <w:color w:val="auto"/>
          <w:sz w:val="32"/>
          <w:szCs w:val="32"/>
        </w:rPr>
        <w:t>项目成果</w:t>
      </w:r>
      <w:r>
        <w:rPr>
          <w:rFonts w:hint="eastAsia" w:ascii="仿宋_GB2312" w:hAnsi="仿宋_GB2312" w:eastAsia="仿宋_GB2312" w:cs="仿宋_GB2312"/>
          <w:color w:val="auto"/>
          <w:sz w:val="32"/>
          <w:szCs w:val="32"/>
          <w:lang w:eastAsia="zh-CN"/>
        </w:rPr>
        <w:t>转化为企业</w:t>
      </w:r>
      <w:r>
        <w:rPr>
          <w:rFonts w:hint="eastAsia" w:ascii="仿宋_GB2312" w:hAnsi="仿宋_GB2312" w:eastAsia="仿宋_GB2312" w:cs="仿宋_GB2312"/>
          <w:color w:val="auto"/>
          <w:sz w:val="32"/>
          <w:szCs w:val="32"/>
        </w:rPr>
        <w:t>落户发展，根据其项目规模、成果转化效益、复制推广效果、行业带动引领等</w:t>
      </w:r>
      <w:r>
        <w:rPr>
          <w:rFonts w:hint="eastAsia" w:ascii="仿宋_GB2312" w:hAnsi="仿宋_GB2312" w:eastAsia="仿宋_GB2312" w:cs="仿宋_GB2312"/>
          <w:color w:val="auto"/>
          <w:sz w:val="32"/>
          <w:szCs w:val="32"/>
          <w:lang w:eastAsia="zh-CN"/>
        </w:rPr>
        <w:t>情况</w:t>
      </w:r>
      <w:r>
        <w:rPr>
          <w:rFonts w:hint="eastAsia" w:ascii="仿宋_GB2312" w:hAnsi="仿宋_GB2312" w:eastAsia="仿宋_GB2312" w:cs="仿宋_GB2312"/>
          <w:color w:val="auto"/>
          <w:sz w:val="32"/>
          <w:szCs w:val="32"/>
        </w:rPr>
        <w:t>，给予落地主体最高300万元落户奖励。</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kinsoku/>
        <w:overflowPunct/>
        <w:topLinePunct w:val="0"/>
        <w:bidi w:val="0"/>
        <w:snapToGrid/>
        <w:spacing w:line="680" w:lineRule="exact"/>
        <w:jc w:val="center"/>
        <w:textAlignment w:val="auto"/>
        <w:outlineLvl w:val="0"/>
        <w:rPr>
          <w:rFonts w:ascii="黑体" w:hAnsi="黑体" w:eastAsia="黑体" w:cs="黑体"/>
          <w:color w:val="auto"/>
          <w:sz w:val="32"/>
          <w:szCs w:val="32"/>
        </w:rPr>
      </w:pPr>
    </w:p>
    <w:p>
      <w:pPr>
        <w:keepNext w:val="0"/>
        <w:keepLines w:val="0"/>
        <w:pageBreakBefore w:val="0"/>
        <w:numPr>
          <w:ilvl w:val="-1"/>
          <w:numId w:val="0"/>
        </w:numPr>
        <w:kinsoku/>
        <w:overflowPunct/>
        <w:topLinePunct w:val="0"/>
        <w:bidi w:val="0"/>
        <w:snapToGrid/>
        <w:spacing w:line="680" w:lineRule="exact"/>
        <w:ind w:firstLine="643" w:firstLineChars="200"/>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w:t>
      </w:r>
      <w:r>
        <w:rPr>
          <w:rFonts w:hint="eastAsia" w:ascii="仿宋_GB2312" w:hAnsi="仿宋_GB2312" w:eastAsia="仿宋_GB2312" w:cs="仿宋_GB2312"/>
          <w:b/>
          <w:bCs/>
          <w:color w:val="auto"/>
          <w:sz w:val="32"/>
          <w:szCs w:val="32"/>
          <w:lang w:eastAsia="zh-CN"/>
        </w:rPr>
        <w:t>产业链相关</w:t>
      </w:r>
      <w:r>
        <w:rPr>
          <w:rFonts w:hint="eastAsia" w:ascii="仿宋_GB2312" w:hAnsi="仿宋_GB2312" w:eastAsia="仿宋_GB2312" w:cs="仿宋_GB2312"/>
          <w:b/>
          <w:bCs/>
          <w:color w:val="auto"/>
          <w:sz w:val="32"/>
          <w:szCs w:val="32"/>
        </w:rPr>
        <w:t>企业</w:t>
      </w:r>
      <w:r>
        <w:rPr>
          <w:rFonts w:hint="eastAsia" w:ascii="仿宋_GB2312" w:hAnsi="仿宋_GB2312" w:eastAsia="仿宋_GB2312" w:cs="仿宋_GB2312"/>
          <w:b/>
          <w:bCs/>
          <w:color w:val="auto"/>
          <w:sz w:val="32"/>
          <w:szCs w:val="32"/>
          <w:lang w:eastAsia="zh-CN"/>
        </w:rPr>
        <w:t>挂牌上市。</w:t>
      </w:r>
      <w:r>
        <w:rPr>
          <w:rFonts w:hint="eastAsia" w:ascii="仿宋_GB2312" w:hAnsi="仿宋_GB2312" w:eastAsia="仿宋_GB2312" w:cs="仿宋_GB2312"/>
          <w:b w:val="0"/>
          <w:bCs w:val="0"/>
          <w:color w:val="auto"/>
          <w:sz w:val="32"/>
          <w:szCs w:val="32"/>
          <w:lang w:eastAsia="zh-CN"/>
        </w:rPr>
        <w:t>落实</w:t>
      </w:r>
      <w:r>
        <w:rPr>
          <w:rFonts w:hint="eastAsia" w:ascii="仿宋_GB2312" w:hAnsi="仿宋_GB2312" w:eastAsia="仿宋_GB2312" w:cs="仿宋_GB2312"/>
          <w:b w:val="0"/>
          <w:bCs w:val="0"/>
          <w:i w:val="0"/>
          <w:caps w:val="0"/>
          <w:color w:val="auto"/>
          <w:spacing w:val="0"/>
          <w:sz w:val="32"/>
          <w:szCs w:val="32"/>
          <w:shd w:val="clear" w:fill="auto"/>
        </w:rPr>
        <w:t>西城区</w:t>
      </w:r>
      <w:r>
        <w:rPr>
          <w:rFonts w:hint="eastAsia" w:ascii="仿宋_GB2312" w:hAnsi="仿宋_GB2312" w:eastAsia="仿宋_GB2312" w:cs="仿宋_GB2312"/>
          <w:b w:val="0"/>
          <w:bCs w:val="0"/>
          <w:i w:val="0"/>
          <w:caps w:val="0"/>
          <w:color w:val="auto"/>
          <w:spacing w:val="0"/>
          <w:sz w:val="32"/>
          <w:szCs w:val="32"/>
          <w:shd w:val="clear" w:fill="auto"/>
          <w:lang w:eastAsia="zh-CN"/>
        </w:rPr>
        <w:t>支持优质企业上市相关</w:t>
      </w:r>
      <w:r>
        <w:rPr>
          <w:rFonts w:hint="eastAsia" w:ascii="仿宋_GB2312" w:hAnsi="仿宋_GB2312" w:eastAsia="仿宋_GB2312" w:cs="仿宋_GB2312"/>
          <w:b w:val="0"/>
          <w:bCs w:val="0"/>
          <w:snapToGrid/>
          <w:color w:val="auto"/>
          <w:kern w:val="2"/>
          <w:sz w:val="32"/>
          <w:szCs w:val="32"/>
          <w:lang w:eastAsia="zh-CN"/>
        </w:rPr>
        <w:t>政策，发挥</w:t>
      </w:r>
      <w:r>
        <w:rPr>
          <w:rFonts w:hint="eastAsia" w:ascii="仿宋_GB2312" w:hAnsi="华文中宋" w:eastAsia="仿宋_GB2312"/>
          <w:color w:val="auto"/>
          <w:sz w:val="32"/>
          <w:szCs w:val="32"/>
        </w:rPr>
        <w:t>西城区创新型中小企业上市孵化基地</w:t>
      </w:r>
      <w:r>
        <w:rPr>
          <w:rFonts w:hint="eastAsia" w:ascii="仿宋_GB2312" w:hAnsi="华文中宋" w:eastAsia="仿宋_GB2312"/>
          <w:color w:val="auto"/>
          <w:sz w:val="32"/>
          <w:szCs w:val="32"/>
          <w:lang w:eastAsia="zh-CN"/>
        </w:rPr>
        <w:t>作用</w:t>
      </w:r>
      <w:r>
        <w:rPr>
          <w:rFonts w:hint="eastAsia" w:ascii="仿宋_GB2312" w:hAnsi="仿宋_GB2312" w:eastAsia="仿宋_GB2312" w:cs="仿宋_GB2312"/>
          <w:b w:val="0"/>
          <w:bCs w:val="0"/>
          <w:snapToGrid/>
          <w:color w:val="auto"/>
          <w:kern w:val="2"/>
          <w:sz w:val="32"/>
          <w:szCs w:val="32"/>
          <w:lang w:eastAsia="zh-CN"/>
        </w:rPr>
        <w:t>，</w:t>
      </w:r>
      <w:r>
        <w:rPr>
          <w:rFonts w:hint="eastAsia" w:ascii="仿宋_GB2312" w:hAnsi="仿宋_GB2312" w:eastAsia="仿宋_GB2312" w:cs="仿宋_GB2312"/>
          <w:b w:val="0"/>
          <w:bCs w:val="0"/>
          <w:color w:val="auto"/>
          <w:sz w:val="32"/>
          <w:szCs w:val="32"/>
          <w:lang w:eastAsia="zh-CN"/>
        </w:rPr>
        <w:t>服务企业挂牌上市</w:t>
      </w:r>
      <w:r>
        <w:rPr>
          <w:rFonts w:hint="eastAsia" w:ascii="仿宋_GB2312" w:hAnsi="仿宋_GB2312" w:eastAsia="仿宋_GB2312" w:cs="仿宋_GB2312"/>
          <w:b w:val="0"/>
          <w:bCs w:val="0"/>
          <w:color w:val="auto"/>
          <w:sz w:val="32"/>
          <w:szCs w:val="32"/>
        </w:rPr>
        <w:t>。</w:t>
      </w:r>
    </w:p>
    <w:p>
      <w:pPr>
        <w:keepNext w:val="0"/>
        <w:keepLines w:val="0"/>
        <w:pageBreakBefore w:val="0"/>
        <w:widowControl/>
        <w:numPr>
          <w:ilvl w:val="255"/>
          <w:numId w:val="0"/>
        </w:numPr>
        <w:kinsoku/>
        <w:wordWrap w:val="0"/>
        <w:overflowPunct/>
        <w:topLinePunct w:val="0"/>
        <w:autoSpaceDE/>
        <w:autoSpaceDN/>
        <w:bidi w:val="0"/>
        <w:adjustRightInd/>
        <w:snapToGrid/>
        <w:spacing w:after="0" w:line="680" w:lineRule="exact"/>
        <w:ind w:firstLine="643" w:firstLineChars="200"/>
        <w:jc w:val="both"/>
        <w:textAlignment w:val="auto"/>
        <w:rPr>
          <w:rFonts w:hint="eastAsia" w:ascii="仿宋_GB2312" w:hAnsi="仿宋_GB2312" w:eastAsia="仿宋_GB2312"/>
          <w:color w:val="auto"/>
          <w:sz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rPr>
        <w:t>支持金融科技产业链相关企业在新三板挂牌。</w:t>
      </w:r>
      <w:r>
        <w:rPr>
          <w:rFonts w:hint="eastAsia" w:ascii="仿宋_GB2312" w:hAnsi="仿宋_GB2312" w:eastAsia="仿宋_GB2312"/>
          <w:color w:val="auto"/>
          <w:sz w:val="32"/>
        </w:rPr>
        <w:t>对获准在新三板挂牌</w:t>
      </w:r>
      <w:r>
        <w:rPr>
          <w:rFonts w:hint="eastAsia" w:ascii="仿宋_GB2312" w:hAnsi="仿宋_GB2312" w:eastAsia="仿宋_GB2312"/>
          <w:color w:val="auto"/>
          <w:sz w:val="32"/>
          <w:u w:val="none"/>
        </w:rPr>
        <w:t>且符合专项支持条件的</w:t>
      </w:r>
      <w:r>
        <w:rPr>
          <w:rFonts w:hint="eastAsia" w:ascii="仿宋_GB2312" w:hAnsi="仿宋_GB2312" w:eastAsia="仿宋_GB2312"/>
          <w:color w:val="auto"/>
          <w:sz w:val="32"/>
        </w:rPr>
        <w:t>，分层给予资金支持。其中，获准在基础层挂牌的，给予每家企业不超过50万元资金支持；获准调层后进入创新层的，给予每家企业不超过50万元资金支持；获准直接进入创新层挂牌的，给予每家企业不超过100万元资金支持。西城区政府根据企业市场分层情况、企业经营发展情况和企业区域贡献情况进行综合指标量化评分，给予总额不超过150 万元的区级专项资金支持。</w:t>
      </w:r>
    </w:p>
    <w:p>
      <w:pPr>
        <w:keepNext w:val="0"/>
        <w:keepLines w:val="0"/>
        <w:pageBreakBefore w:val="0"/>
        <w:widowControl/>
        <w:numPr>
          <w:ilvl w:val="255"/>
          <w:numId w:val="0"/>
        </w:numPr>
        <w:kinsoku/>
        <w:wordWrap w:val="0"/>
        <w:overflowPunct/>
        <w:topLinePunct w:val="0"/>
        <w:autoSpaceDE/>
        <w:autoSpaceDN/>
        <w:bidi w:val="0"/>
        <w:adjustRightInd/>
        <w:snapToGrid/>
        <w:spacing w:after="0" w:line="68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w:t>
      </w:r>
      <w:r>
        <w:rPr>
          <w:rFonts w:hint="eastAsia" w:ascii="仿宋_GB2312" w:hAnsi="仿宋_GB2312" w:eastAsia="仿宋_GB2312"/>
          <w:color w:val="auto"/>
          <w:sz w:val="32"/>
        </w:rPr>
        <w:t>市科委、中关村管委会、</w:t>
      </w:r>
      <w:r>
        <w:rPr>
          <w:rFonts w:hint="eastAsia" w:ascii="仿宋_GB2312" w:hAnsi="仿宋_GB2312" w:eastAsia="仿宋_GB2312" w:cs="仿宋_GB2312"/>
          <w:color w:val="auto"/>
          <w:sz w:val="32"/>
          <w:szCs w:val="32"/>
        </w:rPr>
        <w:t>北京金融街服务局）</w:t>
      </w:r>
    </w:p>
    <w:p>
      <w:pPr>
        <w:keepNext w:val="0"/>
        <w:keepLines w:val="0"/>
        <w:pageBreakBefore w:val="0"/>
        <w:numPr>
          <w:ilvl w:val="-1"/>
          <w:numId w:val="0"/>
        </w:numPr>
        <w:kinsoku/>
        <w:overflowPunct/>
        <w:topLinePunct w:val="0"/>
        <w:bidi w:val="0"/>
        <w:snapToGrid/>
        <w:spacing w:line="680" w:lineRule="exact"/>
        <w:ind w:firstLine="643" w:firstLineChars="200"/>
        <w:textAlignment w:val="auto"/>
        <w:outlineLvl w:val="0"/>
        <w:rPr>
          <w:rFonts w:hint="eastAsia" w:ascii="仿宋_GB2312" w:hAnsi="仿宋_GB2312" w:eastAsia="仿宋_GB2312"/>
          <w:color w:val="auto"/>
          <w:sz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支持金融科技产业链相关企业在</w:t>
      </w:r>
      <w:r>
        <w:rPr>
          <w:rFonts w:hint="eastAsia" w:ascii="仿宋_GB2312" w:hAnsi="仿宋_GB2312" w:eastAsia="仿宋_GB2312" w:cs="仿宋_GB2312"/>
          <w:b/>
          <w:bCs/>
          <w:color w:val="auto"/>
          <w:sz w:val="32"/>
          <w:szCs w:val="32"/>
          <w:lang w:eastAsia="zh-CN"/>
        </w:rPr>
        <w:t>北京证券交易所</w:t>
      </w:r>
      <w:r>
        <w:rPr>
          <w:rFonts w:hint="eastAsia" w:ascii="仿宋_GB2312" w:hAnsi="仿宋_GB2312" w:eastAsia="仿宋_GB2312" w:cs="仿宋_GB2312"/>
          <w:b/>
          <w:bCs/>
          <w:color w:val="auto"/>
          <w:sz w:val="32"/>
          <w:szCs w:val="32"/>
        </w:rPr>
        <w:t>上市。</w:t>
      </w:r>
      <w:r>
        <w:rPr>
          <w:rFonts w:hint="eastAsia" w:ascii="仿宋_GB2312" w:hAnsi="仿宋_GB2312" w:eastAsia="仿宋_GB2312"/>
          <w:color w:val="auto"/>
          <w:sz w:val="32"/>
        </w:rPr>
        <w:t>支持创新能力强、成长速度快的</w:t>
      </w:r>
      <w:r>
        <w:rPr>
          <w:rFonts w:hint="eastAsia" w:ascii="仿宋_GB2312" w:hAnsi="仿宋_GB2312" w:eastAsia="仿宋_GB2312" w:cs="仿宋_GB2312"/>
          <w:color w:val="auto"/>
          <w:sz w:val="32"/>
          <w:szCs w:val="32"/>
        </w:rPr>
        <w:t>金融科技产业链相关企业</w:t>
      </w:r>
      <w:r>
        <w:rPr>
          <w:rFonts w:hint="eastAsia" w:ascii="仿宋_GB2312" w:hAnsi="仿宋_GB2312" w:eastAsia="仿宋_GB2312"/>
          <w:color w:val="auto"/>
          <w:sz w:val="32"/>
        </w:rPr>
        <w:t>进入</w:t>
      </w:r>
      <w:r>
        <w:rPr>
          <w:rFonts w:hint="eastAsia" w:ascii="仿宋_GB2312" w:hAnsi="仿宋_GB2312" w:eastAsia="仿宋_GB2312"/>
          <w:color w:val="auto"/>
          <w:sz w:val="32"/>
          <w:lang w:eastAsia="zh-CN"/>
        </w:rPr>
        <w:t>北京证券交易所</w:t>
      </w:r>
      <w:r>
        <w:rPr>
          <w:rFonts w:hint="eastAsia" w:ascii="仿宋_GB2312" w:hAnsi="仿宋_GB2312" w:eastAsia="仿宋_GB2312"/>
          <w:color w:val="auto"/>
          <w:sz w:val="32"/>
        </w:rPr>
        <w:t>拟上市企业资源库，将符合条件的企业纳入重点上市培育清单。建立健全宣传培训、专业辅导、路演推介等合作机制，服务一批企业在</w:t>
      </w:r>
      <w:r>
        <w:rPr>
          <w:rFonts w:hint="eastAsia" w:ascii="仿宋_GB2312" w:hAnsi="仿宋_GB2312" w:eastAsia="仿宋_GB2312"/>
          <w:color w:val="auto"/>
          <w:sz w:val="32"/>
          <w:lang w:eastAsia="zh-CN"/>
        </w:rPr>
        <w:t>北京证券交易所</w:t>
      </w:r>
      <w:r>
        <w:rPr>
          <w:rFonts w:hint="eastAsia" w:ascii="仿宋_GB2312" w:hAnsi="仿宋_GB2312" w:eastAsia="仿宋_GB2312"/>
          <w:color w:val="auto"/>
          <w:sz w:val="32"/>
        </w:rPr>
        <w:t>上市。发挥企业上市联席会机制作用，建立企业资质、证照办理便捷通道，提高办理效率，加大对企业上市过程中具体问题的协调解决力度，提升服务精准度，加快推进企业在</w:t>
      </w:r>
      <w:r>
        <w:rPr>
          <w:rFonts w:hint="eastAsia" w:ascii="仿宋_GB2312" w:hAnsi="仿宋_GB2312" w:eastAsia="仿宋_GB2312"/>
          <w:color w:val="auto"/>
          <w:sz w:val="32"/>
          <w:lang w:eastAsia="zh-CN"/>
        </w:rPr>
        <w:t>北京证券交易所</w:t>
      </w:r>
      <w:r>
        <w:rPr>
          <w:rFonts w:hint="eastAsia" w:ascii="仿宋_GB2312" w:hAnsi="仿宋_GB2312" w:eastAsia="仿宋_GB2312"/>
          <w:color w:val="auto"/>
          <w:sz w:val="32"/>
        </w:rPr>
        <w:t>上市进程。</w:t>
      </w:r>
    </w:p>
    <w:p>
      <w:pPr>
        <w:keepNext w:val="0"/>
        <w:keepLines w:val="0"/>
        <w:pageBreakBefore w:val="0"/>
        <w:numPr>
          <w:ilvl w:val="-1"/>
          <w:numId w:val="0"/>
        </w:numPr>
        <w:kinsoku/>
        <w:overflowPunct/>
        <w:topLinePunct w:val="0"/>
        <w:bidi w:val="0"/>
        <w:snapToGrid/>
        <w:spacing w:line="680" w:lineRule="exact"/>
        <w:ind w:firstLine="640" w:firstLineChars="200"/>
        <w:textAlignment w:val="auto"/>
        <w:outlineLvl w:val="0"/>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（实施单位：北京金融街服务局）</w:t>
      </w:r>
    </w:p>
    <w:p>
      <w:pPr>
        <w:keepNext w:val="0"/>
        <w:keepLines w:val="0"/>
        <w:pageBreakBefore w:val="0"/>
        <w:widowControl/>
        <w:numPr>
          <w:ilvl w:val="0"/>
          <w:numId w:val="4"/>
        </w:numPr>
        <w:kinsoku/>
        <w:wordWrap w:val="0"/>
        <w:overflowPunct/>
        <w:topLinePunct w:val="0"/>
        <w:autoSpaceDE/>
        <w:autoSpaceDN/>
        <w:bidi w:val="0"/>
        <w:adjustRightInd/>
        <w:snapToGrid/>
        <w:spacing w:after="0" w:line="680" w:lineRule="exact"/>
        <w:ind w:firstLine="643" w:firstLineChars="200"/>
        <w:jc w:val="both"/>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rPr>
        <w:t>加大金融科技产业链相关企业上市资金支持</w:t>
      </w:r>
      <w:r>
        <w:rPr>
          <w:rFonts w:hint="eastAsia" w:ascii="仿宋_GB2312" w:hAnsi="仿宋_GB2312" w:eastAsia="仿宋_GB2312" w:cs="仿宋_GB2312"/>
          <w:b/>
          <w:bCs/>
          <w:color w:val="auto"/>
          <w:sz w:val="32"/>
          <w:szCs w:val="32"/>
          <w:lang w:eastAsia="zh-CN"/>
        </w:rPr>
        <w:t>力度</w:t>
      </w:r>
      <w:r>
        <w:rPr>
          <w:rFonts w:hint="eastAsia" w:ascii="黑体" w:hAnsi="黑体" w:eastAsia="黑体"/>
          <w:color w:val="auto"/>
          <w:sz w:val="32"/>
        </w:rPr>
        <w:t>。</w:t>
      </w:r>
      <w:r>
        <w:rPr>
          <w:rFonts w:hint="eastAsia" w:ascii="仿宋_GB2312" w:hAnsi="仿宋_GB2312" w:eastAsia="仿宋_GB2312"/>
          <w:color w:val="auto"/>
          <w:sz w:val="32"/>
        </w:rPr>
        <w:t>对于在国内</w:t>
      </w:r>
      <w:r>
        <w:rPr>
          <w:rFonts w:hint="eastAsia" w:ascii="仿宋_GB2312" w:hAnsi="仿宋_GB2312" w:eastAsia="仿宋_GB2312"/>
          <w:color w:val="auto"/>
          <w:sz w:val="32"/>
          <w:lang w:eastAsia="zh-CN"/>
        </w:rPr>
        <w:t>资本市场</w:t>
      </w:r>
      <w:r>
        <w:rPr>
          <w:rFonts w:hint="eastAsia" w:ascii="仿宋_GB2312" w:hAnsi="仿宋_GB2312" w:eastAsia="仿宋_GB2312"/>
          <w:color w:val="auto"/>
          <w:sz w:val="32"/>
        </w:rPr>
        <w:t>首次公开发行股票上市的企业，对于在区政府认可的境外资本市场首次公开发行股票上市成功的企业，可享受</w:t>
      </w:r>
      <w:r>
        <w:rPr>
          <w:rFonts w:hint="eastAsia" w:ascii="仿宋_GB2312" w:hAnsi="仿宋_GB2312" w:eastAsia="仿宋_GB2312"/>
          <w:color w:val="auto"/>
          <w:sz w:val="32"/>
          <w:lang w:eastAsia="zh-CN"/>
        </w:rPr>
        <w:t>市级专项支持资金</w:t>
      </w:r>
      <w:r>
        <w:rPr>
          <w:rFonts w:hint="eastAsia" w:ascii="仿宋_GB2312" w:hAnsi="仿宋_GB2312" w:eastAsia="仿宋_GB2312"/>
          <w:color w:val="auto"/>
          <w:sz w:val="32"/>
          <w:lang w:val="en-US" w:eastAsia="zh-CN"/>
        </w:rPr>
        <w:t>300万元、</w:t>
      </w:r>
      <w:r>
        <w:rPr>
          <w:rFonts w:hint="eastAsia" w:ascii="仿宋_GB2312" w:hAnsi="仿宋_GB2312" w:eastAsia="仿宋_GB2312"/>
          <w:color w:val="auto"/>
          <w:sz w:val="32"/>
        </w:rPr>
        <w:t>区级专项支持资金600万元。对于回归</w:t>
      </w:r>
      <w:r>
        <w:rPr>
          <w:rFonts w:hint="eastAsia" w:ascii="仿宋_GB2312" w:hAnsi="仿宋_GB2312" w:eastAsia="仿宋_GB2312"/>
          <w:color w:val="auto"/>
          <w:sz w:val="32"/>
          <w:lang w:eastAsia="zh-CN"/>
        </w:rPr>
        <w:t>国内资本市场</w:t>
      </w:r>
      <w:r>
        <w:rPr>
          <w:rFonts w:hint="eastAsia" w:ascii="仿宋_GB2312" w:hAnsi="仿宋_GB2312" w:eastAsia="仿宋_GB2312"/>
          <w:color w:val="auto"/>
          <w:sz w:val="32"/>
        </w:rPr>
        <w:t>上市的区内境外上市企业，可以参照境内上市奖励标准申请区级专项资金支持。</w:t>
      </w:r>
    </w:p>
    <w:p>
      <w:pPr>
        <w:keepNext w:val="0"/>
        <w:keepLines w:val="0"/>
        <w:pageBreakBefore w:val="0"/>
        <w:widowControl/>
        <w:numPr>
          <w:ilvl w:val="-1"/>
          <w:numId w:val="0"/>
        </w:numPr>
        <w:kinsoku/>
        <w:wordWrap w:val="0"/>
        <w:overflowPunct/>
        <w:topLinePunct w:val="0"/>
        <w:autoSpaceDE/>
        <w:autoSpaceDN/>
        <w:bidi w:val="0"/>
        <w:adjustRightInd/>
        <w:snapToGrid/>
        <w:spacing w:after="0" w:line="680" w:lineRule="exact"/>
        <w:ind w:firstLine="640" w:firstLineChars="200"/>
        <w:jc w:val="left"/>
        <w:textAlignment w:val="auto"/>
        <w:rPr>
          <w:color w:val="auto"/>
        </w:rPr>
      </w:pPr>
      <w:r>
        <w:rPr>
          <w:rFonts w:hint="eastAsia" w:ascii="仿宋_GB2312" w:hAnsi="仿宋_GB2312" w:eastAsia="仿宋_GB2312" w:cs="仿宋_GB2312"/>
          <w:color w:val="auto"/>
          <w:sz w:val="32"/>
          <w:szCs w:val="32"/>
          <w:shd w:val="clear" w:color="auto" w:fill="FFFFFF"/>
        </w:rPr>
        <w:t>（实施单位：</w:t>
      </w:r>
      <w:r>
        <w:rPr>
          <w:rFonts w:hint="eastAsia" w:ascii="仿宋_GB2312" w:hAnsi="仿宋_GB2312" w:eastAsia="仿宋_GB2312" w:cs="仿宋_GB2312"/>
          <w:color w:val="auto"/>
          <w:sz w:val="32"/>
          <w:szCs w:val="32"/>
          <w:shd w:val="clear" w:color="auto" w:fill="FFFFFF"/>
          <w:lang w:eastAsia="zh-CN"/>
        </w:rPr>
        <w:t>市金融监管局、</w:t>
      </w:r>
      <w:r>
        <w:rPr>
          <w:rFonts w:hint="eastAsia" w:ascii="仿宋_GB2312" w:hAnsi="仿宋_GB2312" w:eastAsia="仿宋_GB2312" w:cs="仿宋_GB2312"/>
          <w:color w:val="auto"/>
          <w:sz w:val="32"/>
          <w:szCs w:val="32"/>
          <w:shd w:val="clear" w:color="auto" w:fill="FFFFFF"/>
        </w:rPr>
        <w:t>北京金融街服务局）</w:t>
      </w:r>
    </w:p>
    <w:p>
      <w:pPr>
        <w:keepNext w:val="0"/>
        <w:keepLines w:val="0"/>
        <w:pageBreakBefore w:val="0"/>
        <w:kinsoku/>
        <w:overflowPunct/>
        <w:topLinePunct w:val="0"/>
        <w:bidi w:val="0"/>
        <w:snapToGrid/>
        <w:spacing w:line="680" w:lineRule="exac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numPr>
          <w:ilvl w:val="-1"/>
          <w:numId w:val="0"/>
        </w:numPr>
        <w:kinsoku/>
        <w:overflowPunct/>
        <w:topLinePunct w:val="0"/>
        <w:bidi w:val="0"/>
        <w:snapToGrid/>
        <w:spacing w:line="680" w:lineRule="exact"/>
        <w:ind w:left="640" w:leftChars="0" w:firstLine="0" w:firstLineChars="0"/>
        <w:textAlignment w:val="auto"/>
        <w:outlineLvl w:val="0"/>
        <w:rPr>
          <w:rFonts w:ascii="黑体" w:hAnsi="黑体" w:eastAsia="黑体" w:cs="黑体"/>
          <w:color w:val="auto"/>
          <w:sz w:val="32"/>
          <w:szCs w:val="32"/>
        </w:rPr>
      </w:pPr>
      <w:r>
        <w:rPr>
          <w:rFonts w:hint="eastAsia" w:ascii="仿宋_GB2312" w:hAnsi="仿宋_GB2312" w:eastAsia="仿宋_GB2312" w:cs="仿宋_GB2312"/>
          <w:b/>
          <w:bCs/>
          <w:color w:val="auto"/>
          <w:sz w:val="32"/>
          <w:szCs w:val="32"/>
          <w:lang w:eastAsia="zh-CN"/>
        </w:rPr>
        <w:t>第七条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支持金融科技特色孵化载体建设</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rPr>
        <w:t>支持专业化</w:t>
      </w:r>
    </w:p>
    <w:p>
      <w:pPr>
        <w:keepNext w:val="0"/>
        <w:keepLines w:val="0"/>
        <w:pageBreakBefore w:val="0"/>
        <w:numPr>
          <w:ilvl w:val="0"/>
          <w:numId w:val="0"/>
        </w:numPr>
        <w:kinsoku/>
        <w:overflowPunct/>
        <w:topLinePunct w:val="0"/>
        <w:bidi w:val="0"/>
        <w:snapToGrid/>
        <w:spacing w:line="680" w:lineRule="exact"/>
        <w:textAlignment w:val="auto"/>
        <w:outlineLvl w:val="0"/>
        <w:rPr>
          <w:rFonts w:ascii="黑体" w:hAnsi="黑体" w:eastAsia="黑体" w:cs="黑体"/>
          <w:color w:val="auto"/>
          <w:sz w:val="32"/>
          <w:szCs w:val="32"/>
        </w:rPr>
      </w:pPr>
      <w:r>
        <w:rPr>
          <w:rFonts w:hint="eastAsia" w:ascii="仿宋_GB2312" w:hAnsi="仿宋_GB2312" w:eastAsia="仿宋_GB2312" w:cs="仿宋_GB2312"/>
          <w:color w:val="auto"/>
          <w:sz w:val="32"/>
          <w:szCs w:val="32"/>
        </w:rPr>
        <w:t>机构参与金科新区运营服务，不断提升金科新区的市场化、专业化运营管理和服务水平。</w:t>
      </w:r>
    </w:p>
    <w:p>
      <w:pPr>
        <w:numPr>
          <w:ilvl w:val="0"/>
          <w:numId w:val="5"/>
        </w:numPr>
        <w:spacing w:line="68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rPr>
        <w:t>建设高品质产业承载空间。</w:t>
      </w:r>
      <w:r>
        <w:rPr>
          <w:rFonts w:hint="eastAsia" w:ascii="仿宋_GB2312" w:hAnsi="仿宋_GB2312" w:eastAsia="仿宋_GB2312" w:cs="仿宋_GB2312"/>
          <w:color w:val="auto"/>
          <w:sz w:val="32"/>
          <w:szCs w:val="32"/>
        </w:rPr>
        <w:t>支持</w:t>
      </w:r>
      <w:r>
        <w:rPr>
          <w:rFonts w:hint="eastAsia" w:ascii="仿宋_GB2312" w:hAnsi="仿宋_GB2312" w:eastAsia="仿宋_GB2312" w:cs="仿宋_GB2312"/>
          <w:color w:val="auto"/>
          <w:sz w:val="32"/>
          <w:szCs w:val="32"/>
          <w:lang w:eastAsia="zh-CN"/>
        </w:rPr>
        <w:t>金科新区</w:t>
      </w:r>
      <w:r>
        <w:rPr>
          <w:rFonts w:hint="eastAsia" w:ascii="仿宋_GB2312" w:hAnsi="仿宋_GB2312" w:eastAsia="仿宋_GB2312" w:cs="仿宋_GB2312"/>
          <w:color w:val="auto"/>
          <w:sz w:val="32"/>
          <w:szCs w:val="32"/>
          <w:lang w:val="en-US" w:eastAsia="zh-CN"/>
        </w:rPr>
        <w:t>核心区</w:t>
      </w:r>
      <w:r>
        <w:rPr>
          <w:rFonts w:hint="eastAsia" w:ascii="仿宋_GB2312" w:hAnsi="仿宋_GB2312" w:eastAsia="仿宋_GB2312" w:cs="仿宋_GB2312"/>
          <w:color w:val="auto"/>
          <w:sz w:val="32"/>
          <w:szCs w:val="32"/>
        </w:rPr>
        <w:t>范围内超过3000平方米（含）、发展金融科技与专业服务</w:t>
      </w:r>
      <w:r>
        <w:rPr>
          <w:rFonts w:hint="eastAsia" w:ascii="仿宋_GB2312" w:hAnsi="仿宋_GB2312" w:eastAsia="仿宋_GB2312" w:cs="仿宋_GB2312"/>
          <w:color w:val="auto"/>
          <w:sz w:val="32"/>
          <w:szCs w:val="32"/>
          <w:lang w:val="en-US" w:eastAsia="zh-CN"/>
        </w:rPr>
        <w:t>等符合区域产业定位</w:t>
      </w:r>
      <w:r>
        <w:rPr>
          <w:rFonts w:hint="eastAsia" w:ascii="仿宋_GB2312" w:hAnsi="仿宋_GB2312" w:eastAsia="仿宋_GB2312" w:cs="仿宋_GB2312"/>
          <w:color w:val="auto"/>
          <w:sz w:val="32"/>
          <w:szCs w:val="32"/>
        </w:rPr>
        <w:t>的重点楼宇改造升级，经评估认定，</w:t>
      </w:r>
      <w:r>
        <w:rPr>
          <w:rFonts w:hint="eastAsia" w:ascii="仿宋_GB2312" w:hAnsi="仿宋_GB2312" w:eastAsia="仿宋_GB2312" w:cs="仿宋_GB2312"/>
          <w:color w:val="auto"/>
          <w:sz w:val="32"/>
          <w:szCs w:val="32"/>
          <w:lang w:val="en-US" w:eastAsia="zh-CN"/>
        </w:rPr>
        <w:t>最高</w:t>
      </w:r>
      <w:r>
        <w:rPr>
          <w:rFonts w:hint="eastAsia" w:ascii="仿宋_GB2312" w:hAnsi="仿宋_GB2312" w:eastAsia="仿宋_GB2312" w:cs="仿宋_GB2312"/>
          <w:color w:val="auto"/>
          <w:sz w:val="32"/>
          <w:szCs w:val="32"/>
        </w:rPr>
        <w:t>按</w:t>
      </w:r>
      <w:r>
        <w:rPr>
          <w:rFonts w:hint="eastAsia" w:ascii="仿宋_GB2312" w:hAnsi="仿宋_GB2312" w:eastAsia="仿宋_GB2312" w:cs="仿宋_GB2312"/>
          <w:color w:val="auto"/>
          <w:sz w:val="32"/>
          <w:szCs w:val="32"/>
          <w:lang w:val="en-US" w:eastAsia="zh-CN"/>
        </w:rPr>
        <w:t>实际</w:t>
      </w:r>
      <w:r>
        <w:rPr>
          <w:rFonts w:hint="eastAsia" w:ascii="仿宋_GB2312" w:hAnsi="仿宋_GB2312" w:eastAsia="仿宋_GB2312" w:cs="仿宋_GB2312"/>
          <w:color w:val="auto"/>
          <w:sz w:val="32"/>
          <w:szCs w:val="32"/>
        </w:rPr>
        <w:t>投资额</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每平方米</w:t>
      </w:r>
      <w:r>
        <w:rPr>
          <w:rFonts w:hint="eastAsia" w:ascii="仿宋_GB2312" w:hAnsi="仿宋_GB2312" w:eastAsia="仿宋_GB2312" w:cs="仿宋_GB2312"/>
          <w:color w:val="auto"/>
          <w:sz w:val="32"/>
          <w:szCs w:val="32"/>
          <w:lang w:val="en-US" w:eastAsia="zh-CN"/>
        </w:rPr>
        <w:t>补贴金额</w:t>
      </w:r>
      <w:r>
        <w:rPr>
          <w:rFonts w:hint="eastAsia" w:ascii="仿宋_GB2312" w:hAnsi="仿宋_GB2312" w:eastAsia="仿宋_GB2312" w:cs="仿宋_GB2312"/>
          <w:color w:val="auto"/>
          <w:sz w:val="32"/>
          <w:szCs w:val="32"/>
        </w:rPr>
        <w:t>不超过1</w:t>
      </w:r>
      <w:r>
        <w:rPr>
          <w:rFonts w:hint="eastAsia" w:ascii="仿宋_GB2312" w:hAnsi="仿宋_GB2312" w:eastAsia="仿宋_GB2312" w:cs="仿宋_GB2312"/>
          <w:color w:val="auto"/>
          <w:sz w:val="32"/>
          <w:szCs w:val="32"/>
          <w:lang w:val="en-US" w:eastAsia="zh-CN"/>
        </w:rPr>
        <w:t>500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给予</w:t>
      </w:r>
      <w:r>
        <w:rPr>
          <w:rFonts w:hint="eastAsia" w:ascii="仿宋_GB2312" w:hAnsi="仿宋_GB2312" w:eastAsia="仿宋_GB2312" w:cs="仿宋_GB2312"/>
          <w:color w:val="auto"/>
          <w:sz w:val="32"/>
          <w:szCs w:val="32"/>
          <w:lang w:val="en-US" w:eastAsia="zh-CN"/>
        </w:rPr>
        <w:t>运营主体改造</w:t>
      </w:r>
      <w:r>
        <w:rPr>
          <w:rFonts w:hint="eastAsia" w:ascii="仿宋_GB2312" w:hAnsi="仿宋_GB2312" w:eastAsia="仿宋_GB2312" w:cs="仿宋_GB2312"/>
          <w:color w:val="auto"/>
          <w:sz w:val="32"/>
          <w:szCs w:val="32"/>
        </w:rPr>
        <w:t>资金支持，</w:t>
      </w:r>
      <w:r>
        <w:rPr>
          <w:rFonts w:hint="eastAsia" w:ascii="仿宋_GB2312" w:hAnsi="仿宋_GB2312" w:eastAsia="仿宋_GB2312" w:cs="仿宋_GB2312"/>
          <w:color w:val="auto"/>
          <w:sz w:val="32"/>
          <w:szCs w:val="32"/>
          <w:lang w:val="en-US" w:eastAsia="zh-CN"/>
        </w:rPr>
        <w:t>补贴金额不超过</w:t>
      </w:r>
      <w:r>
        <w:rPr>
          <w:rFonts w:hint="eastAsia" w:ascii="仿宋_GB2312" w:hAnsi="仿宋_GB2312" w:eastAsia="仿宋_GB2312" w:cs="仿宋_GB2312"/>
          <w:color w:val="auto"/>
          <w:sz w:val="32"/>
          <w:szCs w:val="32"/>
        </w:rPr>
        <w:t>5000万元。</w:t>
      </w:r>
      <w:r>
        <w:rPr>
          <w:rFonts w:hint="eastAsia" w:ascii="仿宋_GB2312" w:hAnsi="仿宋_GB2312" w:eastAsia="仿宋_GB2312" w:cs="仿宋_GB2312"/>
          <w:color w:val="auto"/>
          <w:sz w:val="32"/>
          <w:szCs w:val="32"/>
          <w:lang w:val="en-US" w:eastAsia="zh-CN"/>
        </w:rPr>
        <w:t>金科新区非核心区范围内的楼宇改造提升项目，按照西城区支持低效楼宇改造提升相关政策执行。</w:t>
      </w:r>
    </w:p>
    <w:p>
      <w:pPr>
        <w:numPr>
          <w:ilvl w:val="-1"/>
          <w:numId w:val="0"/>
        </w:numPr>
        <w:spacing w:line="6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（实施单位：西城区政府）</w:t>
      </w:r>
    </w:p>
    <w:p>
      <w:pPr>
        <w:numPr>
          <w:ilvl w:val="0"/>
          <w:numId w:val="5"/>
        </w:numPr>
        <w:spacing w:line="68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支持金融科技楼宇特色发展。</w:t>
      </w:r>
      <w:r>
        <w:rPr>
          <w:rFonts w:hint="eastAsia" w:ascii="仿宋_GB2312" w:hAnsi="仿宋_GB2312" w:eastAsia="仿宋_GB2312" w:cs="仿宋_GB2312"/>
          <w:color w:val="auto"/>
          <w:sz w:val="32"/>
          <w:szCs w:val="32"/>
          <w:lang w:val="en-US" w:eastAsia="zh-CN"/>
        </w:rPr>
        <w:t>培育一批主导产业鲜明、集聚效应突出的特色产业楼宇。经认定的符合金融科技与专业服务等产业方向的楼宇，根据年度区域突出贡献情况，经评定后给予楼宇运营主体最高不超过300万元（含）奖励。对由楼宇运营主体自主引进总部或其投资设立的具有一定规模的独立法人企业，按每引进一家企业给予楼宇运营主体最高不超过100万元奖励。支持楼宇不断优化产业布局、争创特色楼宇品牌，对品牌标杆的特色楼宇进行授牌。</w:t>
      </w:r>
    </w:p>
    <w:p>
      <w:pPr>
        <w:numPr>
          <w:ilvl w:val="-1"/>
          <w:numId w:val="0"/>
        </w:numPr>
        <w:spacing w:line="68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0"/>
          <w:numId w:val="5"/>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培育金融科技标杆孵化加速平台。</w:t>
      </w:r>
      <w:r>
        <w:rPr>
          <w:rFonts w:hint="eastAsia" w:ascii="仿宋_GB2312" w:hAnsi="仿宋_GB2312" w:eastAsia="仿宋_GB2312" w:cs="仿宋_GB2312"/>
          <w:color w:val="auto"/>
          <w:sz w:val="32"/>
          <w:szCs w:val="32"/>
        </w:rPr>
        <w:t>鼓励</w:t>
      </w:r>
      <w:r>
        <w:rPr>
          <w:rFonts w:hint="eastAsia" w:ascii="仿宋_GB2312" w:hAnsi="仿宋_GB2312" w:eastAsia="仿宋_GB2312" w:cs="仿宋_GB2312"/>
          <w:color w:val="auto"/>
          <w:sz w:val="32"/>
          <w:szCs w:val="32"/>
          <w:lang w:eastAsia="zh-CN"/>
        </w:rPr>
        <w:t>金科新区</w:t>
      </w:r>
      <w:r>
        <w:rPr>
          <w:rFonts w:hint="eastAsia" w:ascii="仿宋_GB2312" w:hAnsi="仿宋_GB2312" w:eastAsia="仿宋_GB2312" w:cs="仿宋_GB2312"/>
          <w:color w:val="auto"/>
          <w:sz w:val="32"/>
          <w:szCs w:val="32"/>
        </w:rPr>
        <w:t>内商务楼宇打造金融科技产业园或者孵化加速平台，对认定为“高新技术产业孵化和加速基地”的，从促进区域发展、培育企业成效、提升精细服务等方面对运营主体给予资金支持，单个基地年度支持总额不超过1000万元。</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pStyle w:val="3"/>
        <w:keepNext w:val="0"/>
        <w:keepLines w:val="0"/>
        <w:pageBreakBefore w:val="0"/>
        <w:kinsoku/>
        <w:overflowPunct/>
        <w:topLinePunct w:val="0"/>
        <w:bidi w:val="0"/>
        <w:snapToGrid/>
        <w:spacing w:line="680" w:lineRule="exact"/>
        <w:textAlignment w:val="auto"/>
        <w:rPr>
          <w:color w:val="auto"/>
        </w:rPr>
      </w:pPr>
    </w:p>
    <w:p>
      <w:pPr>
        <w:keepNext w:val="0"/>
        <w:keepLines w:val="0"/>
        <w:pageBreakBefore w:val="0"/>
        <w:numPr>
          <w:ilvl w:val="-1"/>
          <w:numId w:val="0"/>
        </w:numPr>
        <w:kinsoku/>
        <w:overflowPunct/>
        <w:topLinePunct w:val="0"/>
        <w:bidi w:val="0"/>
        <w:snapToGrid/>
        <w:spacing w:line="680" w:lineRule="exact"/>
        <w:ind w:firstLine="643" w:firstLineChars="200"/>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第八条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支持金融科技人才</w:t>
      </w:r>
      <w:r>
        <w:rPr>
          <w:rFonts w:hint="eastAsia" w:ascii="仿宋_GB2312" w:hAnsi="仿宋_GB2312" w:eastAsia="仿宋_GB2312" w:cs="仿宋_GB2312"/>
          <w:b/>
          <w:bCs/>
          <w:color w:val="auto"/>
          <w:sz w:val="32"/>
          <w:szCs w:val="32"/>
          <w:lang w:eastAsia="zh-CN"/>
        </w:rPr>
        <w:t>发展。</w:t>
      </w:r>
      <w:r>
        <w:rPr>
          <w:rFonts w:hint="eastAsia" w:ascii="仿宋_GB2312" w:hAnsi="仿宋_GB2312" w:eastAsia="仿宋_GB2312" w:cs="仿宋_GB2312"/>
          <w:color w:val="auto"/>
          <w:sz w:val="32"/>
          <w:szCs w:val="32"/>
        </w:rPr>
        <w:t>支持金融科技优秀人才发展，为优秀</w:t>
      </w:r>
      <w:r>
        <w:rPr>
          <w:rFonts w:hint="eastAsia" w:ascii="仿宋_GB2312" w:hAnsi="仿宋_GB2312" w:eastAsia="仿宋_GB2312" w:cs="仿宋_GB2312"/>
          <w:b w:val="0"/>
          <w:bCs w:val="0"/>
          <w:color w:val="auto"/>
          <w:sz w:val="32"/>
          <w:szCs w:val="32"/>
        </w:rPr>
        <w:t>人才</w:t>
      </w:r>
      <w:r>
        <w:rPr>
          <w:rFonts w:hint="eastAsia" w:ascii="仿宋_GB2312" w:hAnsi="仿宋_GB2312" w:eastAsia="仿宋_GB2312" w:cs="仿宋_GB2312"/>
          <w:color w:val="auto"/>
          <w:sz w:val="32"/>
          <w:szCs w:val="32"/>
        </w:rPr>
        <w:t>引进、培养等提供优质服务保障。</w:t>
      </w:r>
    </w:p>
    <w:p>
      <w:pPr>
        <w:keepNext w:val="0"/>
        <w:keepLines w:val="0"/>
        <w:pageBreakBefore w:val="0"/>
        <w:numPr>
          <w:ilvl w:val="0"/>
          <w:numId w:val="6"/>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加强高层次人才支持。</w:t>
      </w:r>
      <w:r>
        <w:rPr>
          <w:rFonts w:hint="eastAsia" w:ascii="仿宋_GB2312" w:hAnsi="仿宋_GB2312" w:eastAsia="仿宋_GB2312" w:cs="仿宋_GB2312"/>
          <w:color w:val="auto"/>
          <w:sz w:val="32"/>
          <w:szCs w:val="32"/>
        </w:rPr>
        <w:t>支持金融科技企业和专业服务机构引进高层次人才，综合考虑金融机构在西城区金融发展中的业务规模、市场地位、创新能力、</w:t>
      </w: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rPr>
        <w:t>贡献等因素，对经评定的国内重点金融机构高级管理人员与核心业务骨干给予奖励</w:t>
      </w:r>
      <w:r>
        <w:rPr>
          <w:rFonts w:hint="eastAsia" w:ascii="仿宋_GB2312" w:hAnsi="仿宋_GB2312" w:eastAsia="仿宋_GB2312" w:cs="仿宋_GB2312"/>
          <w:color w:val="auto"/>
          <w:sz w:val="32"/>
          <w:szCs w:val="32"/>
          <w:lang w:eastAsia="zh-CN"/>
        </w:rPr>
        <w:t>。</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r>
        <w:rPr>
          <w:rFonts w:hint="eastAsia" w:ascii="仿宋_GB2312" w:hAnsi="仿宋_GB2312" w:eastAsia="仿宋_GB2312" w:cs="仿宋_GB2312"/>
          <w:color w:val="auto"/>
          <w:sz w:val="32"/>
          <w:szCs w:val="32"/>
          <w:lang w:eastAsia="zh-CN"/>
        </w:rPr>
        <w:t>、北京金融街服务局</w:t>
      </w:r>
      <w:r>
        <w:rPr>
          <w:rFonts w:hint="eastAsia" w:ascii="仿宋_GB2312" w:hAnsi="仿宋_GB2312" w:eastAsia="仿宋_GB2312" w:cs="仿宋_GB2312"/>
          <w:color w:val="auto"/>
          <w:sz w:val="32"/>
          <w:szCs w:val="32"/>
        </w:rPr>
        <w:t>）</w:t>
      </w:r>
    </w:p>
    <w:p>
      <w:pPr>
        <w:keepNext w:val="0"/>
        <w:keepLines w:val="0"/>
        <w:pageBreakBefore w:val="0"/>
        <w:numPr>
          <w:ilvl w:val="0"/>
          <w:numId w:val="6"/>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提升专业人才培育服务。</w:t>
      </w:r>
      <w:r>
        <w:rPr>
          <w:rFonts w:hint="eastAsia" w:ascii="仿宋_GB2312" w:hAnsi="仿宋_GB2312" w:eastAsia="仿宋_GB2312" w:cs="仿宋_GB2312"/>
          <w:color w:val="auto"/>
          <w:sz w:val="32"/>
          <w:szCs w:val="32"/>
        </w:rPr>
        <w:t>对获得国家、北京市、中关村各类创新创业人才称号的金融科技企业和专业服务机构人才给予最高100万元奖励。</w:t>
      </w:r>
      <w:r>
        <w:rPr>
          <w:rFonts w:hint="default" w:ascii="FangSong_GB2312" w:hAnsi="FangSong_GB2312" w:eastAsia="FangSong_GB2312"/>
          <w:color w:val="auto"/>
          <w:sz w:val="32"/>
        </w:rPr>
        <w:t>整合区域内医疗、教育、</w:t>
      </w:r>
      <w:r>
        <w:rPr>
          <w:rFonts w:hint="eastAsia" w:ascii="FangSong_GB2312" w:hAnsi="FangSong_GB2312" w:eastAsia="FangSong_GB2312"/>
          <w:color w:val="auto"/>
          <w:sz w:val="32"/>
          <w:lang w:eastAsia="zh-CN"/>
        </w:rPr>
        <w:t>人才公寓</w:t>
      </w:r>
      <w:r>
        <w:rPr>
          <w:rFonts w:hint="default" w:ascii="FangSong_GB2312" w:hAnsi="FangSong_GB2312" w:eastAsia="FangSong_GB2312"/>
          <w:color w:val="auto"/>
          <w:sz w:val="32"/>
        </w:rPr>
        <w:t>等公共资源，积极建立公共服务平台和专业团队，为金融</w:t>
      </w:r>
      <w:r>
        <w:rPr>
          <w:rFonts w:hint="eastAsia" w:ascii="FangSong_GB2312" w:hAnsi="FangSong_GB2312" w:eastAsia="FangSong_GB2312"/>
          <w:color w:val="auto"/>
          <w:sz w:val="32"/>
          <w:lang w:eastAsia="zh-CN"/>
        </w:rPr>
        <w:t>科技</w:t>
      </w:r>
      <w:r>
        <w:rPr>
          <w:rFonts w:hint="default" w:ascii="FangSong_GB2312" w:hAnsi="FangSong_GB2312" w:eastAsia="FangSong_GB2312"/>
          <w:color w:val="auto"/>
          <w:sz w:val="32"/>
        </w:rPr>
        <w:t>机构优秀人才就医、子女入学、居住等方面提供优质高效服务。</w:t>
      </w:r>
      <w:r>
        <w:rPr>
          <w:rFonts w:hint="eastAsia" w:ascii="仿宋_GB2312" w:hAnsi="华文仿宋" w:eastAsia="仿宋_GB2312"/>
          <w:color w:val="auto"/>
          <w:sz w:val="32"/>
          <w:szCs w:val="32"/>
        </w:rPr>
        <w:t>支持打造</w:t>
      </w:r>
      <w:r>
        <w:rPr>
          <w:rFonts w:hint="eastAsia" w:ascii="仿宋_GB2312" w:hAnsi="仿宋_GB2312" w:eastAsia="仿宋_GB2312" w:cs="仿宋_GB2312"/>
          <w:color w:val="auto"/>
          <w:sz w:val="32"/>
          <w:szCs w:val="32"/>
        </w:rPr>
        <w:t>博士后科研工作站、博士后创新实践基地、金融科技人才培训基地、大学生实习实践基地等金融科技人才服务和培养载体。</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0"/>
          <w:numId w:val="6"/>
        </w:numPr>
        <w:kinsoku/>
        <w:overflowPunct/>
        <w:topLinePunct w:val="0"/>
        <w:bidi w:val="0"/>
        <w:snapToGrid/>
        <w:spacing w:line="680" w:lineRule="exact"/>
        <w:ind w:firstLine="643" w:firstLineChars="200"/>
        <w:textAlignment w:val="auto"/>
        <w:rPr>
          <w:rFonts w:hint="eastAsia" w:ascii="仿宋_GB2312" w:hAnsi="仿宋_GB2312" w:eastAsia="仿宋_GB2312"/>
          <w:color w:val="auto"/>
          <w:sz w:val="32"/>
        </w:rPr>
      </w:pPr>
      <w:r>
        <w:rPr>
          <w:rFonts w:hint="eastAsia" w:ascii="仿宋_GB2312" w:hAnsi="仿宋_GB2312" w:eastAsia="仿宋_GB2312" w:cs="仿宋_GB2312"/>
          <w:b/>
          <w:bCs/>
          <w:color w:val="auto"/>
          <w:sz w:val="32"/>
          <w:szCs w:val="32"/>
        </w:rPr>
        <w:t>加大金融科技人才培养。</w:t>
      </w:r>
      <w:r>
        <w:rPr>
          <w:rFonts w:hint="eastAsia" w:ascii="仿宋_GB2312" w:hAnsi="仿宋_GB2312" w:eastAsia="仿宋_GB2312"/>
          <w:color w:val="auto"/>
          <w:sz w:val="32"/>
          <w:lang w:eastAsia="zh-CN"/>
        </w:rPr>
        <w:t>推动</w:t>
      </w:r>
      <w:r>
        <w:rPr>
          <w:rFonts w:hint="eastAsia" w:ascii="仿宋_GB2312" w:hAnsi="仿宋_GB2312" w:eastAsia="仿宋_GB2312"/>
          <w:color w:val="auto"/>
          <w:sz w:val="32"/>
        </w:rPr>
        <w:t>金融科技</w:t>
      </w:r>
      <w:r>
        <w:rPr>
          <w:rFonts w:hint="eastAsia" w:ascii="仿宋_GB2312" w:hAnsi="仿宋_GB2312" w:eastAsia="仿宋_GB2312"/>
          <w:color w:val="auto"/>
          <w:sz w:val="32"/>
          <w:lang w:eastAsia="zh-CN"/>
        </w:rPr>
        <w:t>从业人员职业认证</w:t>
      </w:r>
      <w:r>
        <w:rPr>
          <w:rFonts w:hint="eastAsia" w:ascii="仿宋_GB2312" w:hAnsi="仿宋_GB2312" w:eastAsia="仿宋_GB2312"/>
          <w:color w:val="auto"/>
          <w:sz w:val="32"/>
        </w:rPr>
        <w:t>、金融科技领域职称评定</w:t>
      </w:r>
      <w:r>
        <w:rPr>
          <w:rFonts w:hint="eastAsia" w:ascii="仿宋_GB2312" w:hAnsi="仿宋_GB2312" w:eastAsia="仿宋_GB2312"/>
          <w:color w:val="auto"/>
          <w:sz w:val="32"/>
          <w:lang w:eastAsia="zh-CN"/>
        </w:rPr>
        <w:t>在金科新区落地</w:t>
      </w:r>
      <w:r>
        <w:rPr>
          <w:rFonts w:hint="eastAsia" w:ascii="仿宋_GB2312" w:hAnsi="仿宋_GB2312" w:eastAsia="仿宋_GB2312"/>
          <w:color w:val="auto"/>
          <w:sz w:val="32"/>
        </w:rPr>
        <w:t>，联合行业协会、社团组织加强金融科技人才培训，为区域金融科技发展提供人才支撑保障。</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olor w:val="auto"/>
          <w:sz w:val="32"/>
        </w:rPr>
      </w:pPr>
      <w:r>
        <w:rPr>
          <w:rFonts w:hint="eastAsia" w:ascii="仿宋_GB2312" w:hAnsi="仿宋_GB2312" w:eastAsia="仿宋_GB2312" w:cs="仿宋_GB2312"/>
          <w:color w:val="auto"/>
          <w:sz w:val="32"/>
          <w:szCs w:val="32"/>
        </w:rPr>
        <w:t>（实施单位：市金融监管局、西城区政府）</w:t>
      </w:r>
    </w:p>
    <w:p>
      <w:pPr>
        <w:pStyle w:val="3"/>
        <w:keepNext w:val="0"/>
        <w:keepLines w:val="0"/>
        <w:pageBreakBefore w:val="0"/>
        <w:kinsoku/>
        <w:overflowPunct/>
        <w:topLinePunct w:val="0"/>
        <w:bidi w:val="0"/>
        <w:snapToGrid/>
        <w:spacing w:line="680" w:lineRule="exact"/>
        <w:textAlignment w:val="auto"/>
        <w:rPr>
          <w:color w:val="auto"/>
        </w:rPr>
      </w:pPr>
    </w:p>
    <w:p>
      <w:pPr>
        <w:keepNext w:val="0"/>
        <w:keepLines w:val="0"/>
        <w:pageBreakBefore w:val="0"/>
        <w:numPr>
          <w:ilvl w:val="-1"/>
          <w:numId w:val="0"/>
        </w:numPr>
        <w:kinsoku/>
        <w:overflowPunct/>
        <w:topLinePunct w:val="0"/>
        <w:bidi w:val="0"/>
        <w:snapToGrid/>
        <w:spacing w:line="680" w:lineRule="exact"/>
        <w:ind w:left="640" w:leftChars="0" w:firstLine="0" w:firstLineChars="0"/>
        <w:textAlignment w:val="auto"/>
        <w:outlineLvl w:val="0"/>
        <w:rPr>
          <w:rFonts w:ascii="黑体" w:hAnsi="黑体" w:eastAsia="黑体" w:cs="黑体"/>
          <w:color w:val="auto"/>
          <w:sz w:val="32"/>
          <w:szCs w:val="32"/>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支持高</w:t>
      </w:r>
      <w:r>
        <w:rPr>
          <w:rFonts w:ascii="仿宋_GB2312" w:hAnsi="仿宋_GB2312" w:eastAsia="仿宋_GB2312" w:cs="仿宋_GB2312"/>
          <w:b/>
          <w:bCs/>
          <w:color w:val="auto"/>
          <w:sz w:val="32"/>
          <w:szCs w:val="32"/>
        </w:rPr>
        <w:t>层级</w:t>
      </w:r>
      <w:r>
        <w:rPr>
          <w:rFonts w:hint="eastAsia" w:ascii="仿宋_GB2312" w:hAnsi="仿宋_GB2312" w:eastAsia="仿宋_GB2312" w:cs="仿宋_GB2312"/>
          <w:b/>
          <w:bCs/>
          <w:color w:val="auto"/>
          <w:sz w:val="32"/>
          <w:szCs w:val="32"/>
        </w:rPr>
        <w:t>国际开放合作</w:t>
      </w:r>
      <w:r>
        <w:rPr>
          <w:rFonts w:hint="eastAsia" w:ascii="仿宋_GB2312" w:hAnsi="仿宋_GB2312" w:eastAsia="仿宋_GB2312" w:cs="仿宋_GB2312"/>
          <w:b/>
          <w:bCs/>
          <w:color w:val="auto"/>
          <w:sz w:val="32"/>
          <w:szCs w:val="32"/>
          <w:lang w:eastAsia="zh-CN"/>
        </w:rPr>
        <w:t>。</w:t>
      </w:r>
      <w:r>
        <w:rPr>
          <w:rFonts w:hint="eastAsia" w:ascii="仿宋_GB2312" w:eastAsia="仿宋_GB2312"/>
          <w:color w:val="auto"/>
          <w:kern w:val="0"/>
          <w:sz w:val="32"/>
          <w:szCs w:val="32"/>
        </w:rPr>
        <w:t>落实国家服务业扩</w:t>
      </w:r>
    </w:p>
    <w:p>
      <w:pPr>
        <w:keepNext w:val="0"/>
        <w:keepLines w:val="0"/>
        <w:pageBreakBefore w:val="0"/>
        <w:numPr>
          <w:ilvl w:val="0"/>
          <w:numId w:val="0"/>
        </w:numPr>
        <w:kinsoku/>
        <w:overflowPunct/>
        <w:topLinePunct w:val="0"/>
        <w:bidi w:val="0"/>
        <w:snapToGrid/>
        <w:spacing w:line="680" w:lineRule="exact"/>
        <w:textAlignment w:val="auto"/>
        <w:outlineLvl w:val="0"/>
        <w:rPr>
          <w:rFonts w:ascii="黑体" w:hAnsi="黑体" w:eastAsia="黑体" w:cs="黑体"/>
          <w:color w:val="auto"/>
          <w:sz w:val="32"/>
          <w:szCs w:val="32"/>
        </w:rPr>
      </w:pPr>
      <w:r>
        <w:rPr>
          <w:rFonts w:hint="eastAsia" w:ascii="仿宋_GB2312" w:eastAsia="仿宋_GB2312"/>
          <w:color w:val="auto"/>
          <w:kern w:val="0"/>
          <w:sz w:val="32"/>
          <w:szCs w:val="32"/>
        </w:rPr>
        <w:t>大开放综合示范区</w:t>
      </w:r>
      <w:r>
        <w:rPr>
          <w:rFonts w:ascii="仿宋_GB2312" w:eastAsia="仿宋_GB2312"/>
          <w:color w:val="auto"/>
          <w:kern w:val="0"/>
          <w:sz w:val="32"/>
          <w:szCs w:val="32"/>
        </w:rPr>
        <w:t>优惠政策，</w:t>
      </w:r>
      <w:r>
        <w:rPr>
          <w:rFonts w:hint="eastAsia" w:ascii="仿宋_GB2312" w:eastAsia="仿宋_GB2312"/>
          <w:color w:val="auto"/>
          <w:kern w:val="0"/>
          <w:sz w:val="32"/>
          <w:szCs w:val="32"/>
        </w:rPr>
        <w:t>支持企业实施国际化战略，支持企业开展国际交流合作。</w:t>
      </w:r>
    </w:p>
    <w:p>
      <w:pPr>
        <w:keepNext w:val="0"/>
        <w:keepLines w:val="0"/>
        <w:pageBreakBefore w:val="0"/>
        <w:numPr>
          <w:ilvl w:val="0"/>
          <w:numId w:val="7"/>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吸引国际性机构落地。</w:t>
      </w:r>
      <w:r>
        <w:rPr>
          <w:rFonts w:hint="eastAsia" w:ascii="仿宋_GB2312" w:hAnsi="仿宋_GB2312" w:eastAsia="仿宋_GB2312" w:cs="仿宋_GB2312"/>
          <w:color w:val="auto"/>
          <w:sz w:val="32"/>
          <w:szCs w:val="32"/>
        </w:rPr>
        <w:t>支持金融科技领域国际</w:t>
      </w:r>
      <w:r>
        <w:rPr>
          <w:rFonts w:hint="eastAsia" w:ascii="仿宋_GB2312" w:hAnsi="仿宋_GB2312" w:eastAsia="仿宋_GB2312" w:cs="仿宋_GB2312"/>
          <w:color w:val="auto"/>
          <w:sz w:val="32"/>
          <w:szCs w:val="32"/>
          <w:lang w:eastAsia="zh-CN"/>
        </w:rPr>
        <w:t>社会</w:t>
      </w:r>
      <w:r>
        <w:rPr>
          <w:rFonts w:hint="eastAsia" w:ascii="仿宋_GB2312" w:hAnsi="仿宋_GB2312" w:eastAsia="仿宋_GB2312" w:cs="仿宋_GB2312"/>
          <w:color w:val="auto"/>
          <w:sz w:val="32"/>
          <w:szCs w:val="32"/>
        </w:rPr>
        <w:t>组织、国际科研机构等首次在西城区设立</w:t>
      </w:r>
      <w:r>
        <w:rPr>
          <w:rFonts w:hint="eastAsia" w:ascii="仿宋_GB2312" w:hAnsi="仿宋_GB2312" w:eastAsia="仿宋_GB2312" w:cs="仿宋_GB2312"/>
          <w:color w:val="auto"/>
          <w:sz w:val="32"/>
          <w:szCs w:val="32"/>
          <w:lang w:eastAsia="zh-CN"/>
        </w:rPr>
        <w:t>独立法人</w:t>
      </w:r>
      <w:r>
        <w:rPr>
          <w:rFonts w:hint="eastAsia" w:ascii="仿宋_GB2312" w:hAnsi="仿宋_GB2312" w:eastAsia="仿宋_GB2312" w:cs="仿宋_GB2312"/>
          <w:color w:val="auto"/>
          <w:sz w:val="32"/>
          <w:szCs w:val="32"/>
        </w:rPr>
        <w:t>机构，给予最高不超过</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00万元的落户奖励。</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pStyle w:val="5"/>
        <w:numPr>
          <w:ilvl w:val="0"/>
          <w:numId w:val="7"/>
        </w:numPr>
        <w:spacing w:line="680" w:lineRule="exact"/>
        <w:ind w:left="0" w:firstLine="643" w:firstLineChars="20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支持深化国际创新交流合作。</w:t>
      </w:r>
      <w:r>
        <w:rPr>
          <w:rFonts w:hint="eastAsia" w:ascii="仿宋_GB2312" w:hAnsi="仿宋_GB2312" w:eastAsia="仿宋_GB2312" w:cs="仿宋_GB2312"/>
          <w:color w:val="auto"/>
          <w:kern w:val="2"/>
          <w:sz w:val="32"/>
          <w:szCs w:val="32"/>
          <w:lang w:val="en-US" w:eastAsia="zh-CN" w:bidi="ar-SA"/>
        </w:rPr>
        <w:t>支持</w:t>
      </w:r>
      <w:r>
        <w:rPr>
          <w:rFonts w:hint="eastAsia" w:ascii="仿宋_GB2312" w:hAnsi="仿宋_GB2312" w:eastAsia="仿宋_GB2312" w:cs="仿宋_GB2312"/>
          <w:color w:val="auto"/>
          <w:sz w:val="32"/>
          <w:szCs w:val="32"/>
        </w:rPr>
        <w:t>金融科技企业和专业服务机构</w:t>
      </w:r>
      <w:r>
        <w:rPr>
          <w:rFonts w:hint="eastAsia" w:ascii="仿宋_GB2312" w:hAnsi="仿宋_GB2312" w:eastAsia="仿宋_GB2312" w:cs="仿宋_GB2312"/>
          <w:color w:val="auto"/>
          <w:kern w:val="2"/>
          <w:sz w:val="32"/>
          <w:szCs w:val="32"/>
          <w:lang w:val="en-US" w:eastAsia="zh-CN" w:bidi="ar-SA"/>
        </w:rPr>
        <w:t>在国（境）外设立研发中心、孵化平台等机构，支持</w:t>
      </w:r>
      <w:r>
        <w:rPr>
          <w:rFonts w:hint="eastAsia" w:ascii="仿宋_GB2312" w:hAnsi="仿宋_GB2312" w:eastAsia="仿宋_GB2312" w:cs="仿宋_GB2312"/>
          <w:color w:val="auto"/>
          <w:sz w:val="32"/>
          <w:szCs w:val="32"/>
        </w:rPr>
        <w:t>创</w:t>
      </w:r>
      <w:r>
        <w:rPr>
          <w:rFonts w:hint="eastAsia" w:ascii="仿宋_GB2312" w:hAnsi="仿宋_GB2312" w:eastAsia="仿宋_GB2312" w:cs="仿宋_GB2312"/>
          <w:color w:val="auto"/>
          <w:sz w:val="32"/>
          <w:szCs w:val="32"/>
          <w:lang w:eastAsia="zh-CN"/>
        </w:rPr>
        <w:t>建</w:t>
      </w:r>
      <w:r>
        <w:rPr>
          <w:rFonts w:hint="eastAsia" w:ascii="仿宋_GB2312" w:hAnsi="仿宋_GB2312" w:eastAsia="仿宋_GB2312" w:cs="仿宋_GB2312"/>
          <w:color w:val="auto"/>
          <w:sz w:val="32"/>
          <w:szCs w:val="32"/>
        </w:rPr>
        <w:t>金融科技领域国际性品牌交流活动，支持承办</w:t>
      </w:r>
      <w:r>
        <w:rPr>
          <w:rFonts w:hint="eastAsia" w:ascii="仿宋_GB2312" w:hAnsi="仿宋_GB2312" w:eastAsia="仿宋_GB2312" w:cs="仿宋_GB2312"/>
          <w:color w:val="auto"/>
          <w:sz w:val="32"/>
          <w:szCs w:val="32"/>
          <w:lang w:eastAsia="zh-CN"/>
        </w:rPr>
        <w:t>国家级</w:t>
      </w:r>
      <w:r>
        <w:rPr>
          <w:rFonts w:hint="eastAsia" w:ascii="仿宋_GB2312" w:hAnsi="仿宋_GB2312" w:eastAsia="仿宋_GB2312" w:cs="仿宋_GB2312"/>
          <w:color w:val="auto"/>
          <w:sz w:val="32"/>
          <w:szCs w:val="32"/>
        </w:rPr>
        <w:t>论坛</w:t>
      </w:r>
      <w:r>
        <w:rPr>
          <w:rFonts w:hint="eastAsia" w:ascii="仿宋_GB2312" w:hAnsi="仿宋_GB2312" w:eastAsia="仿宋_GB2312" w:cs="仿宋_GB2312"/>
          <w:color w:val="auto"/>
          <w:sz w:val="32"/>
          <w:szCs w:val="32"/>
          <w:lang w:eastAsia="zh-CN"/>
        </w:rPr>
        <w:t>或者国际化程度高、行业影响力大的专项活动，</w:t>
      </w:r>
      <w:r>
        <w:rPr>
          <w:rFonts w:hint="eastAsia" w:ascii="仿宋_GB2312" w:hAnsi="仿宋_GB2312" w:eastAsia="仿宋_GB2312" w:cs="仿宋_GB2312"/>
          <w:color w:val="auto"/>
          <w:kern w:val="2"/>
          <w:sz w:val="32"/>
          <w:szCs w:val="32"/>
          <w:lang w:val="en-US" w:eastAsia="zh-CN" w:bidi="ar-SA"/>
        </w:rPr>
        <w:t>促进金科新区国际影响力提升，集聚国际创新资源、营造国际创新生态。</w:t>
      </w:r>
    </w:p>
    <w:p>
      <w:pPr>
        <w:pStyle w:val="5"/>
        <w:numPr>
          <w:ilvl w:val="-1"/>
          <w:numId w:val="0"/>
        </w:numPr>
        <w:spacing w:line="680" w:lineRule="exact"/>
        <w:ind w:left="0" w:leftChars="0" w:firstLine="640" w:firstLineChars="200"/>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（实施单位：西城区政府）</w:t>
      </w:r>
    </w:p>
    <w:p>
      <w:pPr>
        <w:keepNext w:val="0"/>
        <w:keepLines w:val="0"/>
        <w:pageBreakBefore w:val="0"/>
        <w:kinsoku/>
        <w:overflowPunct/>
        <w:topLinePunct w:val="0"/>
        <w:bidi w:val="0"/>
        <w:snapToGrid/>
        <w:spacing w:line="680" w:lineRule="exact"/>
        <w:ind w:firstLine="643" w:firstLineChars="200"/>
        <w:textAlignment w:val="auto"/>
        <w:rPr>
          <w:rFonts w:hint="eastAsia" w:ascii="仿宋_GB2312" w:hAnsi="仿宋_GB2312" w:eastAsia="仿宋_GB2312" w:cs="仿宋_GB2312"/>
          <w:b/>
          <w:bCs/>
          <w:color w:val="auto"/>
          <w:sz w:val="32"/>
          <w:szCs w:val="32"/>
          <w:lang w:eastAsia="zh-CN"/>
        </w:rPr>
      </w:pPr>
    </w:p>
    <w:p>
      <w:pPr>
        <w:keepNext w:val="0"/>
        <w:keepLines w:val="0"/>
        <w:pageBreakBefore w:val="0"/>
        <w:kinsoku/>
        <w:overflowPunct/>
        <w:topLinePunct w:val="0"/>
        <w:bidi w:val="0"/>
        <w:snapToGrid/>
        <w:spacing w:line="680" w:lineRule="exact"/>
        <w:ind w:firstLine="643" w:firstLineChars="200"/>
        <w:textAlignment w:val="auto"/>
        <w:rPr>
          <w:rFonts w:ascii="黑体" w:hAnsi="黑体" w:eastAsia="方正小标宋简体" w:cs="黑体"/>
          <w:color w:val="auto"/>
          <w:sz w:val="32"/>
          <w:szCs w:val="32"/>
        </w:rPr>
      </w:pPr>
      <w:r>
        <w:rPr>
          <w:rFonts w:hint="eastAsia" w:ascii="仿宋_GB2312" w:hAnsi="仿宋_GB2312" w:eastAsia="仿宋_GB2312" w:cs="仿宋_GB2312"/>
          <w:b/>
          <w:bCs/>
          <w:color w:val="auto"/>
          <w:sz w:val="32"/>
          <w:szCs w:val="32"/>
          <w:lang w:eastAsia="zh-CN"/>
        </w:rPr>
        <w:t>第十条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rPr>
        <w:t>支持打造金融科技</w:t>
      </w:r>
      <w:r>
        <w:rPr>
          <w:rFonts w:hint="eastAsia" w:ascii="仿宋_GB2312" w:hAnsi="仿宋_GB2312" w:eastAsia="仿宋_GB2312" w:cs="仿宋_GB2312"/>
          <w:b/>
          <w:bCs/>
          <w:color w:val="auto"/>
          <w:sz w:val="32"/>
          <w:szCs w:val="32"/>
          <w:lang w:val="en-US" w:eastAsia="zh-CN"/>
        </w:rPr>
        <w:t>创新发展生态体系</w:t>
      </w:r>
      <w:r>
        <w:rPr>
          <w:rFonts w:hint="eastAsia" w:ascii="仿宋_GB2312" w:hAnsi="仿宋_GB2312" w:eastAsia="仿宋_GB2312" w:cs="仿宋_GB2312"/>
          <w:b/>
          <w:bCs/>
          <w:color w:val="auto"/>
          <w:sz w:val="32"/>
          <w:szCs w:val="32"/>
          <w:lang w:eastAsia="zh-CN"/>
        </w:rPr>
        <w:t>。</w:t>
      </w:r>
      <w:r>
        <w:rPr>
          <w:rFonts w:ascii="仿宋_GB2312" w:eastAsia="仿宋_GB2312"/>
          <w:color w:val="auto"/>
          <w:sz w:val="32"/>
          <w:szCs w:val="32"/>
        </w:rPr>
        <w:t>加强</w:t>
      </w:r>
      <w:r>
        <w:rPr>
          <w:rFonts w:hint="eastAsia" w:ascii="仿宋_GB2312" w:eastAsia="仿宋_GB2312"/>
          <w:color w:val="auto"/>
          <w:sz w:val="32"/>
          <w:szCs w:val="32"/>
        </w:rPr>
        <w:t>金融科技产业创新发展生态顶层设计，聚焦金融科技发展核心关键，积极构建功能完备、系统高效、共建共享的创新生态体系</w:t>
      </w:r>
      <w:r>
        <w:rPr>
          <w:rFonts w:hint="eastAsia" w:ascii="仿宋_GB2312" w:eastAsia="仿宋_GB2312"/>
          <w:color w:val="auto"/>
          <w:sz w:val="32"/>
          <w:szCs w:val="32"/>
          <w:lang w:eastAsia="zh-CN"/>
        </w:rPr>
        <w:t>，</w:t>
      </w:r>
      <w:r>
        <w:rPr>
          <w:rFonts w:hint="eastAsia" w:ascii="仿宋_GB2312" w:eastAsia="仿宋_GB2312"/>
          <w:color w:val="auto"/>
          <w:sz w:val="32"/>
          <w:szCs w:val="32"/>
        </w:rPr>
        <w:t>进一步提升专业服务水平，打造金科新区金融科技产业创新发展良好生态。</w:t>
      </w:r>
    </w:p>
    <w:p>
      <w:pPr>
        <w:keepNext w:val="0"/>
        <w:keepLines w:val="0"/>
        <w:pageBreakBefore w:val="0"/>
        <w:kinsoku/>
        <w:overflowPunct/>
        <w:topLinePunct w:val="0"/>
        <w:bidi w:val="0"/>
        <w:snapToGrid/>
        <w:spacing w:line="680" w:lineRule="exact"/>
        <w:ind w:firstLine="643" w:firstLineChars="200"/>
        <w:textAlignment w:val="auto"/>
        <w:rPr>
          <w:rFonts w:hint="eastAsia" w:ascii="仿宋_GB2312" w:eastAsia="仿宋_GB2312"/>
          <w:color w:val="auto"/>
          <w:sz w:val="32"/>
          <w:szCs w:val="32"/>
          <w:lang w:val="zh-CN" w:eastAsia="zh-CN"/>
        </w:rPr>
      </w:pPr>
      <w:r>
        <w:rPr>
          <w:rFonts w:hint="eastAsia" w:ascii="仿宋_GB2312" w:hAnsi="仿宋_GB2312" w:eastAsia="仿宋_GB2312" w:cs="仿宋_GB2312"/>
          <w:b/>
          <w:bCs/>
          <w:color w:val="auto"/>
          <w:sz w:val="32"/>
          <w:szCs w:val="32"/>
          <w:lang w:val="en-US" w:eastAsia="zh-CN"/>
        </w:rPr>
        <w:t>（一）支持专业服务机构引荐项目落地。</w:t>
      </w:r>
      <w:r>
        <w:rPr>
          <w:rFonts w:hint="eastAsia" w:ascii="仿宋_GB2312" w:hAnsi="仿宋_GB2312" w:eastAsia="仿宋_GB2312" w:cs="仿宋_GB2312"/>
          <w:b w:val="0"/>
          <w:bCs w:val="0"/>
          <w:color w:val="auto"/>
          <w:sz w:val="32"/>
          <w:szCs w:val="32"/>
          <w:lang w:val="en-US" w:eastAsia="zh-CN"/>
        </w:rPr>
        <w:t>经认定的专门服务机构</w:t>
      </w:r>
      <w:r>
        <w:rPr>
          <w:rFonts w:hint="eastAsia" w:ascii="仿宋_GB2312" w:hAnsi="仿宋_GB2312" w:eastAsia="仿宋_GB2312" w:cs="仿宋_GB2312"/>
          <w:color w:val="auto"/>
          <w:sz w:val="32"/>
          <w:szCs w:val="32"/>
          <w:lang w:eastAsia="zh-CN"/>
        </w:rPr>
        <w:t>协助引进符合金科新区产业定位的项目落地，</w:t>
      </w:r>
      <w:r>
        <w:rPr>
          <w:rFonts w:hint="eastAsia" w:ascii="仿宋_GB2312" w:hAnsi="仿宋_GB2312" w:eastAsia="仿宋_GB2312" w:cs="仿宋_GB2312"/>
          <w:color w:val="auto"/>
          <w:sz w:val="32"/>
          <w:szCs w:val="32"/>
          <w:lang w:val="en-US" w:eastAsia="zh-CN"/>
        </w:rPr>
        <w:t>最终</w:t>
      </w:r>
      <w:r>
        <w:rPr>
          <w:rFonts w:hint="eastAsia" w:ascii="仿宋_GB2312" w:hAnsi="仿宋_GB2312" w:eastAsia="仿宋_GB2312" w:cs="仿宋_GB2312"/>
          <w:color w:val="auto"/>
          <w:sz w:val="32"/>
          <w:szCs w:val="32"/>
          <w:lang w:eastAsia="zh-CN"/>
        </w:rPr>
        <w:t>成功转化为企业且</w:t>
      </w:r>
      <w:r>
        <w:rPr>
          <w:rFonts w:hint="eastAsia" w:ascii="仿宋_GB2312" w:hAnsi="仿宋_GB2312" w:eastAsia="仿宋_GB2312" w:cs="仿宋_GB2312"/>
          <w:color w:val="auto"/>
          <w:sz w:val="32"/>
          <w:szCs w:val="32"/>
          <w:lang w:val="en-US" w:eastAsia="zh-CN"/>
        </w:rPr>
        <w:t>在西城区落户的，根据落户企业突出贡献经评定后给予专门服务机构最高不超过1500万元</w:t>
      </w:r>
      <w:r>
        <w:rPr>
          <w:rFonts w:hint="eastAsia" w:ascii="仿宋_GB2312" w:eastAsia="仿宋_GB2312"/>
          <w:color w:val="auto"/>
          <w:sz w:val="32"/>
          <w:szCs w:val="32"/>
          <w:lang w:val="zh-CN"/>
        </w:rPr>
        <w:t>奖励</w:t>
      </w:r>
      <w:r>
        <w:rPr>
          <w:rFonts w:hint="eastAsia" w:ascii="仿宋_GB2312" w:eastAsia="仿宋_GB2312"/>
          <w:color w:val="auto"/>
          <w:sz w:val="32"/>
          <w:szCs w:val="32"/>
          <w:lang w:val="zh-CN" w:eastAsia="zh-CN"/>
        </w:rPr>
        <w:t>。</w:t>
      </w:r>
    </w:p>
    <w:p>
      <w:pPr>
        <w:keepNext w:val="0"/>
        <w:keepLines w:val="0"/>
        <w:pageBreakBefore w:val="0"/>
        <w:kinsoku/>
        <w:overflowPunct/>
        <w:topLinePunct w:val="0"/>
        <w:bidi w:val="0"/>
        <w:snapToGrid/>
        <w:spacing w:line="6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zh-CN"/>
        </w:rPr>
        <w:t>（实施单位：西城区政府）</w:t>
      </w:r>
    </w:p>
    <w:p>
      <w:pPr>
        <w:keepNext w:val="0"/>
        <w:keepLines w:val="0"/>
        <w:pageBreakBefore w:val="0"/>
        <w:numPr>
          <w:ilvl w:val="-1"/>
          <w:numId w:val="0"/>
        </w:numPr>
        <w:kinsoku/>
        <w:overflowPunct/>
        <w:topLinePunct w:val="0"/>
        <w:bidi w:val="0"/>
        <w:snapToGrid/>
        <w:spacing w:line="680" w:lineRule="exact"/>
        <w:ind w:firstLine="643" w:firstLineChars="200"/>
        <w:jc w:val="left"/>
        <w:textAlignment w:val="auto"/>
        <w:outlineLvl w:val="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支持企业开展高价值专利布局。</w:t>
      </w:r>
      <w:r>
        <w:rPr>
          <w:rFonts w:hint="eastAsia" w:ascii="仿宋_GB2312" w:hAnsi="仿宋_GB2312" w:eastAsia="仿宋_GB2312" w:cs="仿宋_GB2312"/>
          <w:color w:val="auto"/>
          <w:sz w:val="32"/>
          <w:szCs w:val="32"/>
        </w:rPr>
        <w:t>支持企业开展</w:t>
      </w:r>
      <w:r>
        <w:rPr>
          <w:rFonts w:hint="eastAsia" w:ascii="仿宋_GB2312" w:hAnsi="仿宋_GB2312" w:eastAsia="仿宋_GB2312" w:cs="仿宋_GB2312"/>
          <w:color w:val="auto"/>
          <w:sz w:val="32"/>
          <w:szCs w:val="32"/>
          <w:lang w:eastAsia="zh-CN"/>
        </w:rPr>
        <w:t>高价值发明专利</w:t>
      </w:r>
      <w:r>
        <w:rPr>
          <w:rFonts w:hint="eastAsia" w:ascii="仿宋_GB2312" w:hAnsi="仿宋_GB2312" w:eastAsia="仿宋_GB2312" w:cs="仿宋_GB2312"/>
          <w:color w:val="auto"/>
          <w:sz w:val="32"/>
          <w:szCs w:val="32"/>
        </w:rPr>
        <w:t>布局，</w:t>
      </w:r>
      <w:r>
        <w:rPr>
          <w:rFonts w:hint="eastAsia" w:ascii="仿宋_GB2312" w:hAnsi="仿宋_GB2312" w:eastAsia="仿宋_GB2312" w:cs="仿宋_GB2312"/>
          <w:color w:val="auto"/>
          <w:sz w:val="32"/>
          <w:szCs w:val="32"/>
          <w:lang w:eastAsia="zh-CN"/>
        </w:rPr>
        <w:t>对获得市级部门资金支持的</w:t>
      </w:r>
      <w:r>
        <w:rPr>
          <w:rFonts w:hint="eastAsia" w:ascii="仿宋_GB2312" w:hAnsi="仿宋_GB2312" w:eastAsia="仿宋_GB2312" w:cs="仿宋_GB2312"/>
          <w:color w:val="auto"/>
          <w:sz w:val="32"/>
          <w:szCs w:val="32"/>
        </w:rPr>
        <w:t>中关村知识产权领军企业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中关村知识产权示范企业</w:t>
      </w:r>
      <w:r>
        <w:rPr>
          <w:rFonts w:hint="eastAsia" w:ascii="仿宋_GB2312" w:hAnsi="仿宋_GB2312" w:eastAsia="仿宋_GB2312" w:cs="仿宋_GB2312"/>
          <w:color w:val="auto"/>
          <w:sz w:val="32"/>
          <w:szCs w:val="32"/>
          <w:lang w:eastAsia="zh-CN"/>
        </w:rPr>
        <w:t>按照</w:t>
      </w:r>
      <w:r>
        <w:rPr>
          <w:rFonts w:hint="eastAsia" w:ascii="仿宋_GB2312" w:hAnsi="仿宋_GB2312" w:eastAsia="仿宋_GB2312" w:cs="仿宋_GB2312"/>
          <w:color w:val="auto"/>
          <w:sz w:val="32"/>
          <w:szCs w:val="32"/>
          <w:lang w:val="en-US" w:eastAsia="zh-CN"/>
        </w:rPr>
        <w:t>1:0.5的比例给予配套资金，年度配套最高</w:t>
      </w:r>
      <w:r>
        <w:rPr>
          <w:rFonts w:hint="eastAsia" w:ascii="仿宋_GB2312" w:hAnsi="仿宋_GB2312" w:eastAsia="仿宋_GB2312" w:cs="仿宋_GB2312"/>
          <w:color w:val="auto"/>
          <w:sz w:val="32"/>
          <w:szCs w:val="32"/>
          <w:lang w:eastAsia="zh-CN"/>
        </w:rPr>
        <w:t>不超过</w:t>
      </w:r>
      <w:r>
        <w:rPr>
          <w:rFonts w:hint="eastAsia" w:ascii="仿宋_GB2312" w:hAnsi="仿宋_GB2312" w:eastAsia="仿宋_GB2312" w:cs="仿宋_GB2312"/>
          <w:color w:val="auto"/>
          <w:sz w:val="32"/>
          <w:szCs w:val="32"/>
          <w:lang w:val="en-US" w:eastAsia="zh-CN"/>
        </w:rPr>
        <w:t>50万元</w:t>
      </w:r>
      <w:r>
        <w:rPr>
          <w:rFonts w:hint="eastAsia" w:ascii="仿宋_GB2312" w:hAnsi="仿宋_GB2312" w:eastAsia="仿宋_GB2312" w:cs="仿宋_GB2312"/>
          <w:color w:val="auto"/>
          <w:sz w:val="32"/>
          <w:szCs w:val="32"/>
        </w:rPr>
        <w:t>。</w:t>
      </w:r>
    </w:p>
    <w:p>
      <w:pPr>
        <w:keepNext w:val="0"/>
        <w:keepLines w:val="0"/>
        <w:pageBreakBefore w:val="0"/>
        <w:numPr>
          <w:ilvl w:val="-1"/>
          <w:numId w:val="0"/>
        </w:numPr>
        <w:kinsoku/>
        <w:overflowPunct/>
        <w:topLinePunct w:val="0"/>
        <w:bidi w:val="0"/>
        <w:snapToGrid/>
        <w:spacing w:line="680" w:lineRule="exact"/>
        <w:ind w:firstLine="640" w:firstLineChars="200"/>
        <w:jc w:val="left"/>
        <w:textAlignment w:val="auto"/>
        <w:outlineLvl w:val="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1"/>
          <w:numId w:val="0"/>
        </w:numPr>
        <w:kinsoku/>
        <w:overflowPunct/>
        <w:topLinePunct w:val="0"/>
        <w:bidi w:val="0"/>
        <w:snapToGrid/>
        <w:spacing w:line="680" w:lineRule="exact"/>
        <w:ind w:firstLine="643" w:firstLineChars="200"/>
        <w:jc w:val="left"/>
        <w:textAlignment w:val="auto"/>
        <w:outlineLvl w:val="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支持金融科技标准创制。</w:t>
      </w:r>
      <w:r>
        <w:rPr>
          <w:rFonts w:hint="eastAsia" w:ascii="仿宋_GB2312" w:hAnsi="仿宋_GB2312" w:eastAsia="仿宋_GB2312" w:cs="仿宋_GB2312"/>
          <w:b w:val="0"/>
          <w:bCs w:val="0"/>
          <w:color w:val="auto"/>
          <w:sz w:val="32"/>
          <w:szCs w:val="32"/>
        </w:rPr>
        <w:t>对主导和参与制定基础技术、产品、工艺、技术服务的国际标准、国家标准、行业标准、中关村标准的企业，分别给予一次性100万元、40万元、20万元、</w:t>
      </w: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万元补贴，年度补贴总额不超过100万元。</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keepNext w:val="0"/>
        <w:keepLines w:val="0"/>
        <w:pageBreakBefore w:val="0"/>
        <w:numPr>
          <w:ilvl w:val="-1"/>
          <w:numId w:val="0"/>
        </w:numPr>
        <w:kinsoku/>
        <w:overflowPunct/>
        <w:topLinePunct w:val="0"/>
        <w:bidi w:val="0"/>
        <w:snapToGrid/>
        <w:spacing w:line="68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畅通企业高效服务机制。</w:t>
      </w:r>
      <w:r>
        <w:rPr>
          <w:rFonts w:hint="eastAsia" w:ascii="仿宋_GB2312" w:hAnsi="仿宋_GB2312" w:eastAsia="仿宋_GB2312" w:cs="仿宋_GB2312"/>
          <w:color w:val="auto"/>
          <w:sz w:val="32"/>
          <w:szCs w:val="32"/>
        </w:rPr>
        <w:t>根据金融科技企业和专业服务机构的区域</w:t>
      </w:r>
      <w:r>
        <w:rPr>
          <w:rFonts w:hint="eastAsia" w:ascii="仿宋_GB2312" w:hAnsi="仿宋_GB2312" w:eastAsia="仿宋_GB2312" w:cs="仿宋_GB2312"/>
          <w:color w:val="auto"/>
          <w:sz w:val="32"/>
          <w:szCs w:val="32"/>
          <w:lang w:eastAsia="zh-CN"/>
        </w:rPr>
        <w:t>突出</w:t>
      </w:r>
      <w:r>
        <w:rPr>
          <w:rFonts w:hint="eastAsia" w:ascii="仿宋_GB2312" w:hAnsi="仿宋_GB2312" w:eastAsia="仿宋_GB2312" w:cs="仿宋_GB2312"/>
          <w:color w:val="auto"/>
          <w:sz w:val="32"/>
          <w:szCs w:val="32"/>
        </w:rPr>
        <w:t>贡献、技术创新力、市场影响力、辐射带动力等，对重点</w:t>
      </w:r>
      <w:r>
        <w:rPr>
          <w:rFonts w:hint="eastAsia" w:ascii="仿宋_GB2312" w:hAnsi="仿宋_GB2312" w:eastAsia="仿宋_GB2312" w:cs="仿宋_GB2312"/>
          <w:color w:val="auto"/>
          <w:sz w:val="32"/>
          <w:szCs w:val="32"/>
          <w:lang w:eastAsia="zh-CN"/>
        </w:rPr>
        <w:t>企业和</w:t>
      </w:r>
      <w:r>
        <w:rPr>
          <w:rFonts w:hint="eastAsia" w:ascii="仿宋_GB2312" w:hAnsi="仿宋_GB2312" w:eastAsia="仿宋_GB2312" w:cs="仿宋_GB2312"/>
          <w:color w:val="auto"/>
          <w:sz w:val="32"/>
          <w:szCs w:val="32"/>
        </w:rPr>
        <w:t>机构实现“双管家”专员服务，协调解决经营发展中的突出问题，并根据需求动态更新“服务包”，打造“全过程、全方位、全周期、全链条”的服务机制。</w:t>
      </w:r>
    </w:p>
    <w:p>
      <w:pPr>
        <w:keepNext w:val="0"/>
        <w:keepLines w:val="0"/>
        <w:pageBreakBefore w:val="0"/>
        <w:numPr>
          <w:ilvl w:val="-1"/>
          <w:numId w:val="0"/>
        </w:numPr>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（实施单位：西城区政府）</w:t>
      </w:r>
    </w:p>
    <w:p>
      <w:pPr>
        <w:pStyle w:val="3"/>
        <w:keepNext w:val="0"/>
        <w:keepLines w:val="0"/>
        <w:pageBreakBefore w:val="0"/>
        <w:kinsoku/>
        <w:overflowPunct/>
        <w:topLinePunct w:val="0"/>
        <w:bidi w:val="0"/>
        <w:snapToGrid/>
        <w:spacing w:line="680" w:lineRule="exact"/>
        <w:textAlignment w:val="auto"/>
        <w:rPr>
          <w:color w:val="auto"/>
        </w:rPr>
      </w:pPr>
    </w:p>
    <w:p>
      <w:pPr>
        <w:keepNext w:val="0"/>
        <w:keepLines w:val="0"/>
        <w:pageBreakBefore w:val="0"/>
        <w:kinsoku/>
        <w:overflowPunct/>
        <w:topLinePunct w:val="0"/>
        <w:bidi w:val="0"/>
        <w:snapToGrid/>
        <w:spacing w:line="680" w:lineRule="exact"/>
        <w:textAlignment w:val="auto"/>
        <w:outlineLvl w:val="0"/>
        <w:rPr>
          <w:rFonts w:hint="eastAsia" w:ascii="黑体" w:hAnsi="黑体" w:eastAsia="黑体" w:cs="黑体"/>
          <w:color w:val="auto"/>
          <w:sz w:val="32"/>
          <w:szCs w:val="32"/>
        </w:rPr>
      </w:pPr>
      <w:r>
        <w:rPr>
          <w:rFonts w:hint="eastAsia" w:ascii="黑体" w:hAnsi="黑体" w:eastAsia="黑体" w:cs="黑体"/>
          <w:color w:val="auto"/>
          <w:sz w:val="32"/>
          <w:szCs w:val="32"/>
        </w:rPr>
        <w:t xml:space="preserve">    </w:t>
      </w:r>
    </w:p>
    <w:p>
      <w:pPr>
        <w:keepNext w:val="0"/>
        <w:keepLines w:val="0"/>
        <w:pageBreakBefore w:val="0"/>
        <w:kinsoku/>
        <w:overflowPunct/>
        <w:topLinePunct w:val="0"/>
        <w:bidi w:val="0"/>
        <w:snapToGrid/>
        <w:spacing w:line="680" w:lineRule="exact"/>
        <w:ind w:firstLine="640" w:firstLineChars="200"/>
        <w:textAlignment w:val="auto"/>
        <w:outlineLvl w:val="0"/>
        <w:rPr>
          <w:rFonts w:ascii="黑体" w:hAnsi="黑体" w:eastAsia="黑体" w:cs="黑体"/>
          <w:color w:val="auto"/>
          <w:sz w:val="32"/>
          <w:szCs w:val="32"/>
        </w:rPr>
      </w:pPr>
      <w:r>
        <w:rPr>
          <w:rFonts w:hint="eastAsia" w:ascii="黑体" w:hAnsi="黑体" w:eastAsia="黑体" w:cs="黑体"/>
          <w:color w:val="auto"/>
          <w:sz w:val="32"/>
          <w:szCs w:val="32"/>
        </w:rPr>
        <w:t>附则</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（一）本措施由市科委、中关村管委会</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市金融监管局、西城区政府</w:t>
      </w:r>
      <w:r>
        <w:rPr>
          <w:rFonts w:hint="eastAsia" w:ascii="仿宋_GB2312" w:hAnsi="仿宋_GB2312" w:eastAsia="仿宋_GB2312" w:cs="仿宋_GB2312"/>
          <w:color w:val="auto"/>
          <w:sz w:val="32"/>
          <w:szCs w:val="32"/>
          <w:lang w:eastAsia="zh-CN"/>
        </w:rPr>
        <w:t>、北京金融街服务局</w:t>
      </w:r>
      <w:r>
        <w:rPr>
          <w:rFonts w:hint="eastAsia" w:ascii="仿宋_GB2312" w:hAnsi="仿宋_GB2312" w:eastAsia="仿宋_GB2312" w:cs="仿宋_GB2312"/>
          <w:color w:val="auto"/>
          <w:sz w:val="32"/>
          <w:szCs w:val="32"/>
        </w:rPr>
        <w:t>负责解释并组织实施。区政府有关部门按其职责负责相关工作落实。</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（二）企业同一项目、同一事项，同时符合本规定和西城区其他专项支持政策的，按照从高从优不重复的原则给予支持。</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（三）按照《关于支持北京金融科技与专业服务创新示范区（西城区域）建设若干措施》（西行规发〔2018〕6号）规定已完成认定、未全部完成政策兑现的企业继续按照西行规发〔2018〕6号执行至政策兑现结束。</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w:t>
      </w:r>
      <w:r>
        <w:rPr>
          <w:rFonts w:hint="eastAsia" w:ascii="仿宋_GB2312" w:hAnsi="仿宋_GB2312" w:eastAsia="仿宋_GB2312" w:cs="仿宋_GB2312"/>
          <w:color w:val="auto"/>
          <w:sz w:val="32"/>
          <w:szCs w:val="32"/>
          <w:lang w:eastAsia="zh-CN"/>
        </w:rPr>
        <w:t>措施</w:t>
      </w:r>
      <w:r>
        <w:rPr>
          <w:rFonts w:hint="eastAsia" w:ascii="仿宋_GB2312" w:hAnsi="仿宋_GB2312" w:eastAsia="仿宋_GB2312" w:cs="仿宋_GB2312"/>
          <w:color w:val="auto"/>
          <w:sz w:val="32"/>
          <w:szCs w:val="32"/>
        </w:rPr>
        <w:t>自印发之日起实施。</w:t>
      </w: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p>
    <w:p>
      <w:pPr>
        <w:keepNext w:val="0"/>
        <w:keepLines w:val="0"/>
        <w:pageBreakBefore w:val="0"/>
        <w:kinsoku/>
        <w:overflowPunct/>
        <w:topLinePunct w:val="0"/>
        <w:bidi w:val="0"/>
        <w:snapToGrid/>
        <w:spacing w:line="680" w:lineRule="exact"/>
        <w:ind w:firstLine="640" w:firstLineChars="200"/>
        <w:textAlignment w:val="auto"/>
        <w:rPr>
          <w:rFonts w:ascii="仿宋_GB2312" w:hAnsi="仿宋_GB2312" w:eastAsia="仿宋_GB2312" w:cs="仿宋_GB2312"/>
          <w:color w:val="auto"/>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Consolas">
    <w:panose1 w:val="020B0609020204030204"/>
    <w:charset w:val="00"/>
    <w:family w:val="modern"/>
    <w:pitch w:val="default"/>
    <w:sig w:usb0="E10002FF" w:usb1="4000FCFF" w:usb2="00000009" w:usb3="00000000" w:csb0="6000019F" w:csb1="DFD7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roman"/>
    <w:pitch w:val="default"/>
    <w:sig w:usb0="00000287" w:usb1="080F0000" w:usb2="00000000" w:usb3="00000000" w:csb0="0004009F" w:csb1="DFD70000"/>
  </w:font>
  <w:font w:name="FangSong_GB2312">
    <w:altName w:val="仿宋_GB2312"/>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30836"/>
    <w:multiLevelType w:val="singleLevel"/>
    <w:tmpl w:val="93430836"/>
    <w:lvl w:ilvl="0" w:tentative="0">
      <w:start w:val="1"/>
      <w:numFmt w:val="chineseCounting"/>
      <w:suff w:val="nothing"/>
      <w:lvlText w:val="（%1）"/>
      <w:lvlJc w:val="left"/>
      <w:rPr>
        <w:rFonts w:hint="eastAsia"/>
        <w:b/>
        <w:bCs/>
      </w:rPr>
    </w:lvl>
  </w:abstractNum>
  <w:abstractNum w:abstractNumId="1">
    <w:nsid w:val="ADCC2714"/>
    <w:multiLevelType w:val="singleLevel"/>
    <w:tmpl w:val="ADCC2714"/>
    <w:lvl w:ilvl="0" w:tentative="0">
      <w:start w:val="1"/>
      <w:numFmt w:val="chineseCounting"/>
      <w:suff w:val="nothing"/>
      <w:lvlText w:val="（%1）"/>
      <w:lvlJc w:val="left"/>
      <w:rPr>
        <w:rFonts w:hint="eastAsia"/>
        <w:b/>
        <w:bCs/>
      </w:rPr>
    </w:lvl>
  </w:abstractNum>
  <w:abstractNum w:abstractNumId="2">
    <w:nsid w:val="B46F24E8"/>
    <w:multiLevelType w:val="singleLevel"/>
    <w:tmpl w:val="B46F24E8"/>
    <w:lvl w:ilvl="0" w:tentative="0">
      <w:start w:val="1"/>
      <w:numFmt w:val="chineseCounting"/>
      <w:suff w:val="nothing"/>
      <w:lvlText w:val="（%1）"/>
      <w:lvlJc w:val="left"/>
      <w:rPr>
        <w:rFonts w:hint="eastAsia"/>
        <w:b/>
        <w:bCs/>
      </w:rPr>
    </w:lvl>
  </w:abstractNum>
  <w:abstractNum w:abstractNumId="3">
    <w:nsid w:val="B6E95DCC"/>
    <w:multiLevelType w:val="singleLevel"/>
    <w:tmpl w:val="B6E95DCC"/>
    <w:lvl w:ilvl="0" w:tentative="0">
      <w:start w:val="1"/>
      <w:numFmt w:val="chineseCounting"/>
      <w:suff w:val="nothing"/>
      <w:lvlText w:val="（%1）"/>
      <w:lvlJc w:val="left"/>
      <w:rPr>
        <w:rFonts w:hint="eastAsia"/>
        <w:b/>
        <w:bCs/>
      </w:rPr>
    </w:lvl>
  </w:abstractNum>
  <w:abstractNum w:abstractNumId="4">
    <w:nsid w:val="EFA640B3"/>
    <w:multiLevelType w:val="singleLevel"/>
    <w:tmpl w:val="EFA640B3"/>
    <w:lvl w:ilvl="0" w:tentative="0">
      <w:start w:val="1"/>
      <w:numFmt w:val="chineseCounting"/>
      <w:suff w:val="nothing"/>
      <w:lvlText w:val="（%1）"/>
      <w:lvlJc w:val="left"/>
      <w:rPr>
        <w:rFonts w:hint="eastAsia"/>
        <w:b/>
        <w:bCs/>
      </w:rPr>
    </w:lvl>
  </w:abstractNum>
  <w:abstractNum w:abstractNumId="5">
    <w:nsid w:val="F3A2BBC8"/>
    <w:multiLevelType w:val="singleLevel"/>
    <w:tmpl w:val="F3A2BBC8"/>
    <w:lvl w:ilvl="0" w:tentative="0">
      <w:start w:val="1"/>
      <w:numFmt w:val="chineseCounting"/>
      <w:suff w:val="nothing"/>
      <w:lvlText w:val="（%1）"/>
      <w:lvlJc w:val="left"/>
      <w:rPr>
        <w:rFonts w:hint="eastAsia"/>
        <w:b/>
        <w:bCs/>
      </w:rPr>
    </w:lvl>
  </w:abstractNum>
  <w:abstractNum w:abstractNumId="6">
    <w:nsid w:val="33C059A1"/>
    <w:multiLevelType w:val="singleLevel"/>
    <w:tmpl w:val="33C059A1"/>
    <w:lvl w:ilvl="0" w:tentative="0">
      <w:start w:val="1"/>
      <w:numFmt w:val="chineseCounting"/>
      <w:suff w:val="nothing"/>
      <w:lvlText w:val="（%1）"/>
      <w:lvlJc w:val="left"/>
      <w:rPr>
        <w:rFonts w:hint="eastAsia"/>
        <w:b/>
        <w:bCs/>
      </w:rPr>
    </w:lvl>
  </w:abstractNum>
  <w:num w:numId="1">
    <w:abstractNumId w:val="6"/>
  </w:num>
  <w:num w:numId="2">
    <w:abstractNumId w:val="5"/>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CF1"/>
    <w:rsid w:val="00034696"/>
    <w:rsid w:val="00052D52"/>
    <w:rsid w:val="00057348"/>
    <w:rsid w:val="000A75C0"/>
    <w:rsid w:val="000D1032"/>
    <w:rsid w:val="00121A90"/>
    <w:rsid w:val="00130682"/>
    <w:rsid w:val="0013237A"/>
    <w:rsid w:val="00171BCC"/>
    <w:rsid w:val="00172A27"/>
    <w:rsid w:val="001927C6"/>
    <w:rsid w:val="001F470B"/>
    <w:rsid w:val="00216193"/>
    <w:rsid w:val="0025054E"/>
    <w:rsid w:val="0025749F"/>
    <w:rsid w:val="00284A13"/>
    <w:rsid w:val="00294118"/>
    <w:rsid w:val="002B5434"/>
    <w:rsid w:val="002E6559"/>
    <w:rsid w:val="003531E2"/>
    <w:rsid w:val="003A2C33"/>
    <w:rsid w:val="003C6D19"/>
    <w:rsid w:val="003F4617"/>
    <w:rsid w:val="004447F4"/>
    <w:rsid w:val="00484931"/>
    <w:rsid w:val="004C4D32"/>
    <w:rsid w:val="004D05CD"/>
    <w:rsid w:val="004E5E94"/>
    <w:rsid w:val="004E7162"/>
    <w:rsid w:val="00517EEA"/>
    <w:rsid w:val="00550CB1"/>
    <w:rsid w:val="00552654"/>
    <w:rsid w:val="005A0F1A"/>
    <w:rsid w:val="005C1DEC"/>
    <w:rsid w:val="005D0064"/>
    <w:rsid w:val="00631704"/>
    <w:rsid w:val="006646DE"/>
    <w:rsid w:val="006B583F"/>
    <w:rsid w:val="00707B7A"/>
    <w:rsid w:val="00735A93"/>
    <w:rsid w:val="00763B0D"/>
    <w:rsid w:val="007708E6"/>
    <w:rsid w:val="00776CED"/>
    <w:rsid w:val="008320AF"/>
    <w:rsid w:val="00840FA5"/>
    <w:rsid w:val="00841517"/>
    <w:rsid w:val="008845E7"/>
    <w:rsid w:val="008E03C5"/>
    <w:rsid w:val="0092145E"/>
    <w:rsid w:val="00925073"/>
    <w:rsid w:val="009546DF"/>
    <w:rsid w:val="00970E95"/>
    <w:rsid w:val="00972255"/>
    <w:rsid w:val="009E1185"/>
    <w:rsid w:val="00A34DD7"/>
    <w:rsid w:val="00A505DB"/>
    <w:rsid w:val="00AF1118"/>
    <w:rsid w:val="00B570DF"/>
    <w:rsid w:val="00BB1640"/>
    <w:rsid w:val="00BC733B"/>
    <w:rsid w:val="00C36E4A"/>
    <w:rsid w:val="00C57A92"/>
    <w:rsid w:val="00CE0A14"/>
    <w:rsid w:val="00D95858"/>
    <w:rsid w:val="00D97063"/>
    <w:rsid w:val="00DC2134"/>
    <w:rsid w:val="00F371AF"/>
    <w:rsid w:val="00F8254E"/>
    <w:rsid w:val="00F86D73"/>
    <w:rsid w:val="00F925D1"/>
    <w:rsid w:val="00FD6183"/>
    <w:rsid w:val="00FE13E5"/>
    <w:rsid w:val="013A12AE"/>
    <w:rsid w:val="023917EC"/>
    <w:rsid w:val="02581D4C"/>
    <w:rsid w:val="0316445F"/>
    <w:rsid w:val="033B069C"/>
    <w:rsid w:val="033C0E47"/>
    <w:rsid w:val="03A74810"/>
    <w:rsid w:val="04883F2B"/>
    <w:rsid w:val="04EB49B5"/>
    <w:rsid w:val="05492FDA"/>
    <w:rsid w:val="054E305B"/>
    <w:rsid w:val="0566319D"/>
    <w:rsid w:val="05D37F4A"/>
    <w:rsid w:val="06236973"/>
    <w:rsid w:val="06546909"/>
    <w:rsid w:val="06662077"/>
    <w:rsid w:val="06F56B12"/>
    <w:rsid w:val="075F38F0"/>
    <w:rsid w:val="08130976"/>
    <w:rsid w:val="083E1375"/>
    <w:rsid w:val="088B4325"/>
    <w:rsid w:val="09280DA2"/>
    <w:rsid w:val="09C3469B"/>
    <w:rsid w:val="0A2E0EA2"/>
    <w:rsid w:val="0A4F299C"/>
    <w:rsid w:val="0ACE20D3"/>
    <w:rsid w:val="0AD74873"/>
    <w:rsid w:val="0B050935"/>
    <w:rsid w:val="0B570E54"/>
    <w:rsid w:val="0BB41AAC"/>
    <w:rsid w:val="0BDB4F13"/>
    <w:rsid w:val="0BDB744F"/>
    <w:rsid w:val="0C393981"/>
    <w:rsid w:val="0C414EC8"/>
    <w:rsid w:val="0C7C5E7A"/>
    <w:rsid w:val="0C8C0B10"/>
    <w:rsid w:val="0CEE5343"/>
    <w:rsid w:val="0D594D31"/>
    <w:rsid w:val="0D6302FC"/>
    <w:rsid w:val="0D8A606F"/>
    <w:rsid w:val="0DAC5EA0"/>
    <w:rsid w:val="0E477642"/>
    <w:rsid w:val="0EC919CB"/>
    <w:rsid w:val="0F58281E"/>
    <w:rsid w:val="0F851480"/>
    <w:rsid w:val="0FE467C4"/>
    <w:rsid w:val="10357AB6"/>
    <w:rsid w:val="1037087D"/>
    <w:rsid w:val="104059D2"/>
    <w:rsid w:val="10D254AD"/>
    <w:rsid w:val="10D42BC4"/>
    <w:rsid w:val="11053EF5"/>
    <w:rsid w:val="110F6FDF"/>
    <w:rsid w:val="112D2E38"/>
    <w:rsid w:val="1130246B"/>
    <w:rsid w:val="115F642C"/>
    <w:rsid w:val="11987B90"/>
    <w:rsid w:val="11BF5EEC"/>
    <w:rsid w:val="124121FF"/>
    <w:rsid w:val="12AD7DB3"/>
    <w:rsid w:val="12DC139C"/>
    <w:rsid w:val="13051255"/>
    <w:rsid w:val="133D3826"/>
    <w:rsid w:val="136840EA"/>
    <w:rsid w:val="13D90DCC"/>
    <w:rsid w:val="13F42654"/>
    <w:rsid w:val="14430108"/>
    <w:rsid w:val="144F4B61"/>
    <w:rsid w:val="148C079C"/>
    <w:rsid w:val="158A77F0"/>
    <w:rsid w:val="158B2DA9"/>
    <w:rsid w:val="15C660EF"/>
    <w:rsid w:val="15D53161"/>
    <w:rsid w:val="15EF12C1"/>
    <w:rsid w:val="15F7286F"/>
    <w:rsid w:val="16FF7382"/>
    <w:rsid w:val="171F4033"/>
    <w:rsid w:val="17631FAE"/>
    <w:rsid w:val="17B0669A"/>
    <w:rsid w:val="18982E86"/>
    <w:rsid w:val="18F405D9"/>
    <w:rsid w:val="19562845"/>
    <w:rsid w:val="19A31577"/>
    <w:rsid w:val="19D0637F"/>
    <w:rsid w:val="1A15126C"/>
    <w:rsid w:val="1A3215C5"/>
    <w:rsid w:val="1A552C7A"/>
    <w:rsid w:val="1A684B22"/>
    <w:rsid w:val="1A7B315C"/>
    <w:rsid w:val="1A911A52"/>
    <w:rsid w:val="1ABA3F2C"/>
    <w:rsid w:val="1AC4545F"/>
    <w:rsid w:val="1B0C7287"/>
    <w:rsid w:val="1B0D44F2"/>
    <w:rsid w:val="1BAE3D30"/>
    <w:rsid w:val="1BB56B37"/>
    <w:rsid w:val="1BE27E49"/>
    <w:rsid w:val="1BE41FAE"/>
    <w:rsid w:val="1BF17EF8"/>
    <w:rsid w:val="1C596A3D"/>
    <w:rsid w:val="1C5B5A42"/>
    <w:rsid w:val="1C62403D"/>
    <w:rsid w:val="1CE23E10"/>
    <w:rsid w:val="1D035E37"/>
    <w:rsid w:val="1D261FD6"/>
    <w:rsid w:val="1D3B7E45"/>
    <w:rsid w:val="1D552DD9"/>
    <w:rsid w:val="1D645368"/>
    <w:rsid w:val="1D8A4831"/>
    <w:rsid w:val="1D9169D2"/>
    <w:rsid w:val="1E613963"/>
    <w:rsid w:val="1EFE2651"/>
    <w:rsid w:val="1F325A40"/>
    <w:rsid w:val="1F580B2F"/>
    <w:rsid w:val="1FB43DE7"/>
    <w:rsid w:val="1FC559E2"/>
    <w:rsid w:val="200B011D"/>
    <w:rsid w:val="20327D9F"/>
    <w:rsid w:val="204545E1"/>
    <w:rsid w:val="20525AA3"/>
    <w:rsid w:val="20584CC9"/>
    <w:rsid w:val="20B108C7"/>
    <w:rsid w:val="212014AE"/>
    <w:rsid w:val="21317E80"/>
    <w:rsid w:val="214B2014"/>
    <w:rsid w:val="21B445C8"/>
    <w:rsid w:val="21D23F1C"/>
    <w:rsid w:val="229E0014"/>
    <w:rsid w:val="22A66389"/>
    <w:rsid w:val="22BD79E5"/>
    <w:rsid w:val="22F8321A"/>
    <w:rsid w:val="23175E9A"/>
    <w:rsid w:val="23C92445"/>
    <w:rsid w:val="23FC3FAF"/>
    <w:rsid w:val="24B37A08"/>
    <w:rsid w:val="24D73C1B"/>
    <w:rsid w:val="25152A5B"/>
    <w:rsid w:val="25226FD2"/>
    <w:rsid w:val="253D174E"/>
    <w:rsid w:val="254F5170"/>
    <w:rsid w:val="27047A6E"/>
    <w:rsid w:val="27191010"/>
    <w:rsid w:val="27840543"/>
    <w:rsid w:val="27B77B14"/>
    <w:rsid w:val="283B57A5"/>
    <w:rsid w:val="286A01E7"/>
    <w:rsid w:val="29114058"/>
    <w:rsid w:val="29191B25"/>
    <w:rsid w:val="293A5A39"/>
    <w:rsid w:val="29703753"/>
    <w:rsid w:val="29CD40F6"/>
    <w:rsid w:val="29D3130E"/>
    <w:rsid w:val="2A554419"/>
    <w:rsid w:val="2A5B1CE2"/>
    <w:rsid w:val="2A5D0A77"/>
    <w:rsid w:val="2AE5031C"/>
    <w:rsid w:val="2AFD2916"/>
    <w:rsid w:val="2B365B5F"/>
    <w:rsid w:val="2BAC38A0"/>
    <w:rsid w:val="2C7B1B7F"/>
    <w:rsid w:val="2CCD0296"/>
    <w:rsid w:val="2D20797D"/>
    <w:rsid w:val="2D5F5537"/>
    <w:rsid w:val="2DB31B82"/>
    <w:rsid w:val="2DBC0DEB"/>
    <w:rsid w:val="2DFC1344"/>
    <w:rsid w:val="2E3E237A"/>
    <w:rsid w:val="2E424CB4"/>
    <w:rsid w:val="2E4F2EB5"/>
    <w:rsid w:val="2EAE7949"/>
    <w:rsid w:val="2F0C6AC3"/>
    <w:rsid w:val="2F0F475A"/>
    <w:rsid w:val="2F5A2ED6"/>
    <w:rsid w:val="2F6107A4"/>
    <w:rsid w:val="2F8E3C04"/>
    <w:rsid w:val="2FD80FBB"/>
    <w:rsid w:val="2FE04785"/>
    <w:rsid w:val="300F36C3"/>
    <w:rsid w:val="30216F50"/>
    <w:rsid w:val="30270481"/>
    <w:rsid w:val="30871695"/>
    <w:rsid w:val="30F11974"/>
    <w:rsid w:val="3140197F"/>
    <w:rsid w:val="3143321D"/>
    <w:rsid w:val="316C33C9"/>
    <w:rsid w:val="318E3FD6"/>
    <w:rsid w:val="31F369F1"/>
    <w:rsid w:val="32696CB3"/>
    <w:rsid w:val="32A115F8"/>
    <w:rsid w:val="32AB7DFB"/>
    <w:rsid w:val="330C5891"/>
    <w:rsid w:val="331138E1"/>
    <w:rsid w:val="3317670F"/>
    <w:rsid w:val="332C2AF7"/>
    <w:rsid w:val="337C2A16"/>
    <w:rsid w:val="33E46DA3"/>
    <w:rsid w:val="34825BE6"/>
    <w:rsid w:val="348B6EB5"/>
    <w:rsid w:val="34DD06EF"/>
    <w:rsid w:val="353C799D"/>
    <w:rsid w:val="356366AC"/>
    <w:rsid w:val="356F09F7"/>
    <w:rsid w:val="359F0C3E"/>
    <w:rsid w:val="35F44AE6"/>
    <w:rsid w:val="3665547A"/>
    <w:rsid w:val="36716AB5"/>
    <w:rsid w:val="36723C5D"/>
    <w:rsid w:val="368E4441"/>
    <w:rsid w:val="36A84318"/>
    <w:rsid w:val="36BF3346"/>
    <w:rsid w:val="36C539CB"/>
    <w:rsid w:val="36E51976"/>
    <w:rsid w:val="36FB4A79"/>
    <w:rsid w:val="378018CB"/>
    <w:rsid w:val="37A4078E"/>
    <w:rsid w:val="37FB69BF"/>
    <w:rsid w:val="3816737C"/>
    <w:rsid w:val="38176926"/>
    <w:rsid w:val="39033292"/>
    <w:rsid w:val="39E524B2"/>
    <w:rsid w:val="39FE7A3E"/>
    <w:rsid w:val="3AAD52BC"/>
    <w:rsid w:val="3AE16666"/>
    <w:rsid w:val="3AE51797"/>
    <w:rsid w:val="3AFB00CB"/>
    <w:rsid w:val="3B24395D"/>
    <w:rsid w:val="3B2C2002"/>
    <w:rsid w:val="3BA80AC7"/>
    <w:rsid w:val="3BC00200"/>
    <w:rsid w:val="3BD66A3C"/>
    <w:rsid w:val="3BE653E6"/>
    <w:rsid w:val="3C0E4427"/>
    <w:rsid w:val="3C51233E"/>
    <w:rsid w:val="3C5F6A31"/>
    <w:rsid w:val="3C666012"/>
    <w:rsid w:val="3C8539F0"/>
    <w:rsid w:val="3C8B44CF"/>
    <w:rsid w:val="3CCA47F2"/>
    <w:rsid w:val="3CD93BEA"/>
    <w:rsid w:val="3D181687"/>
    <w:rsid w:val="3DD74448"/>
    <w:rsid w:val="3EA16DA3"/>
    <w:rsid w:val="3EFF16B0"/>
    <w:rsid w:val="3F120BDC"/>
    <w:rsid w:val="3F656A54"/>
    <w:rsid w:val="3FC33631"/>
    <w:rsid w:val="40AC6F3C"/>
    <w:rsid w:val="40ED1FAB"/>
    <w:rsid w:val="41255538"/>
    <w:rsid w:val="41736962"/>
    <w:rsid w:val="41BE24F6"/>
    <w:rsid w:val="424F7CB9"/>
    <w:rsid w:val="42672AE3"/>
    <w:rsid w:val="42D3195C"/>
    <w:rsid w:val="430A3B03"/>
    <w:rsid w:val="43156351"/>
    <w:rsid w:val="431573A1"/>
    <w:rsid w:val="432D5ADB"/>
    <w:rsid w:val="432F3601"/>
    <w:rsid w:val="437E59E3"/>
    <w:rsid w:val="43AD323D"/>
    <w:rsid w:val="43E75C8A"/>
    <w:rsid w:val="43F62371"/>
    <w:rsid w:val="442E3F72"/>
    <w:rsid w:val="443B20A2"/>
    <w:rsid w:val="447514E8"/>
    <w:rsid w:val="44CE5413"/>
    <w:rsid w:val="44D667AE"/>
    <w:rsid w:val="45014B29"/>
    <w:rsid w:val="455015E5"/>
    <w:rsid w:val="456E27F9"/>
    <w:rsid w:val="45931A70"/>
    <w:rsid w:val="45FB3C6E"/>
    <w:rsid w:val="46192134"/>
    <w:rsid w:val="466F739F"/>
    <w:rsid w:val="46886DE0"/>
    <w:rsid w:val="468D5BE0"/>
    <w:rsid w:val="46A41C10"/>
    <w:rsid w:val="46A55802"/>
    <w:rsid w:val="46F31E0A"/>
    <w:rsid w:val="47264D1B"/>
    <w:rsid w:val="47321912"/>
    <w:rsid w:val="473C4992"/>
    <w:rsid w:val="476C2D21"/>
    <w:rsid w:val="47F24ACE"/>
    <w:rsid w:val="482B4AE9"/>
    <w:rsid w:val="48743888"/>
    <w:rsid w:val="48794D6A"/>
    <w:rsid w:val="488F0F04"/>
    <w:rsid w:val="489F2FD7"/>
    <w:rsid w:val="48D42DD4"/>
    <w:rsid w:val="48E42803"/>
    <w:rsid w:val="494B6280"/>
    <w:rsid w:val="496D2B15"/>
    <w:rsid w:val="49747FC0"/>
    <w:rsid w:val="49812171"/>
    <w:rsid w:val="49EB68EC"/>
    <w:rsid w:val="4A0A7030"/>
    <w:rsid w:val="4A603596"/>
    <w:rsid w:val="4AC71129"/>
    <w:rsid w:val="4AD3448D"/>
    <w:rsid w:val="4AE21843"/>
    <w:rsid w:val="4AE66DD6"/>
    <w:rsid w:val="4AE76EF2"/>
    <w:rsid w:val="4B0E7E95"/>
    <w:rsid w:val="4B207A80"/>
    <w:rsid w:val="4B653B8F"/>
    <w:rsid w:val="4BA14D9D"/>
    <w:rsid w:val="4BCB2BE6"/>
    <w:rsid w:val="4BEF7CE2"/>
    <w:rsid w:val="4C4A5199"/>
    <w:rsid w:val="4C691B43"/>
    <w:rsid w:val="4CB056F2"/>
    <w:rsid w:val="4D13254B"/>
    <w:rsid w:val="4D5E6E47"/>
    <w:rsid w:val="4DB643D0"/>
    <w:rsid w:val="4DF20AE7"/>
    <w:rsid w:val="4E3F66C2"/>
    <w:rsid w:val="4E564138"/>
    <w:rsid w:val="4EBD67D9"/>
    <w:rsid w:val="4ED20A34"/>
    <w:rsid w:val="4F414864"/>
    <w:rsid w:val="4F9413B6"/>
    <w:rsid w:val="4F9A0054"/>
    <w:rsid w:val="4FFF435B"/>
    <w:rsid w:val="5022761D"/>
    <w:rsid w:val="50936113"/>
    <w:rsid w:val="509564DA"/>
    <w:rsid w:val="50DE6D36"/>
    <w:rsid w:val="516D15F3"/>
    <w:rsid w:val="51C118C2"/>
    <w:rsid w:val="520A007D"/>
    <w:rsid w:val="52BE4AFB"/>
    <w:rsid w:val="52E24FB5"/>
    <w:rsid w:val="52E62568"/>
    <w:rsid w:val="53B01EB6"/>
    <w:rsid w:val="53C55C56"/>
    <w:rsid w:val="53F17219"/>
    <w:rsid w:val="543B6DF5"/>
    <w:rsid w:val="544930C8"/>
    <w:rsid w:val="547D6A13"/>
    <w:rsid w:val="54A54F69"/>
    <w:rsid w:val="54AA6D5E"/>
    <w:rsid w:val="55493656"/>
    <w:rsid w:val="55690BF5"/>
    <w:rsid w:val="55995D52"/>
    <w:rsid w:val="567F1D52"/>
    <w:rsid w:val="56E53B2D"/>
    <w:rsid w:val="57522A61"/>
    <w:rsid w:val="57B13CCA"/>
    <w:rsid w:val="57F11065"/>
    <w:rsid w:val="58C06A77"/>
    <w:rsid w:val="58EA6114"/>
    <w:rsid w:val="5A904280"/>
    <w:rsid w:val="5AAC48B5"/>
    <w:rsid w:val="5ABD49F6"/>
    <w:rsid w:val="5AE5154A"/>
    <w:rsid w:val="5B3B60E8"/>
    <w:rsid w:val="5B403B67"/>
    <w:rsid w:val="5B5422A0"/>
    <w:rsid w:val="5B93344C"/>
    <w:rsid w:val="5BC14BBB"/>
    <w:rsid w:val="5BC433D0"/>
    <w:rsid w:val="5C5E28A6"/>
    <w:rsid w:val="5CA32745"/>
    <w:rsid w:val="5D1423D2"/>
    <w:rsid w:val="5D1E0517"/>
    <w:rsid w:val="5D446CE0"/>
    <w:rsid w:val="5DBB788E"/>
    <w:rsid w:val="5DDC16ED"/>
    <w:rsid w:val="5E0F0080"/>
    <w:rsid w:val="5E282D9D"/>
    <w:rsid w:val="5E2F0501"/>
    <w:rsid w:val="5EB3322B"/>
    <w:rsid w:val="5FB04E87"/>
    <w:rsid w:val="60017E0E"/>
    <w:rsid w:val="600669BD"/>
    <w:rsid w:val="601D5BA5"/>
    <w:rsid w:val="601F745B"/>
    <w:rsid w:val="60243DB0"/>
    <w:rsid w:val="60746C57"/>
    <w:rsid w:val="60CE2E85"/>
    <w:rsid w:val="612170EA"/>
    <w:rsid w:val="61701309"/>
    <w:rsid w:val="619D1F98"/>
    <w:rsid w:val="63147F27"/>
    <w:rsid w:val="63207C93"/>
    <w:rsid w:val="632B2121"/>
    <w:rsid w:val="63BE6F1D"/>
    <w:rsid w:val="64386691"/>
    <w:rsid w:val="645C2563"/>
    <w:rsid w:val="64C97B70"/>
    <w:rsid w:val="64CC0858"/>
    <w:rsid w:val="65090EF0"/>
    <w:rsid w:val="651D4CB3"/>
    <w:rsid w:val="65E473B9"/>
    <w:rsid w:val="65EB4803"/>
    <w:rsid w:val="6615588F"/>
    <w:rsid w:val="66786B6F"/>
    <w:rsid w:val="668A750B"/>
    <w:rsid w:val="66DD0E47"/>
    <w:rsid w:val="67150B2F"/>
    <w:rsid w:val="67280E41"/>
    <w:rsid w:val="67411224"/>
    <w:rsid w:val="676F5A6F"/>
    <w:rsid w:val="67801DCE"/>
    <w:rsid w:val="6786717A"/>
    <w:rsid w:val="67A27F96"/>
    <w:rsid w:val="67A755AC"/>
    <w:rsid w:val="67A77329"/>
    <w:rsid w:val="67C31E82"/>
    <w:rsid w:val="67D94982"/>
    <w:rsid w:val="67DD4B2A"/>
    <w:rsid w:val="68226D02"/>
    <w:rsid w:val="6861223D"/>
    <w:rsid w:val="68870612"/>
    <w:rsid w:val="68A02947"/>
    <w:rsid w:val="68C72747"/>
    <w:rsid w:val="68D26659"/>
    <w:rsid w:val="68FC5C93"/>
    <w:rsid w:val="69144F0E"/>
    <w:rsid w:val="69381295"/>
    <w:rsid w:val="69576EEF"/>
    <w:rsid w:val="69BA05C5"/>
    <w:rsid w:val="69EB4AF7"/>
    <w:rsid w:val="6AA9106C"/>
    <w:rsid w:val="6AEE659C"/>
    <w:rsid w:val="6B930322"/>
    <w:rsid w:val="6B9A6CE0"/>
    <w:rsid w:val="6BA442DD"/>
    <w:rsid w:val="6BD5425B"/>
    <w:rsid w:val="6C245780"/>
    <w:rsid w:val="6C694DB0"/>
    <w:rsid w:val="6CB93DB8"/>
    <w:rsid w:val="6CE73DC0"/>
    <w:rsid w:val="6D254FA9"/>
    <w:rsid w:val="6D51581F"/>
    <w:rsid w:val="6D6A524C"/>
    <w:rsid w:val="6D97327A"/>
    <w:rsid w:val="6DC748C4"/>
    <w:rsid w:val="6DCE69C6"/>
    <w:rsid w:val="6E4159ED"/>
    <w:rsid w:val="6E5C0E9F"/>
    <w:rsid w:val="6EAB7730"/>
    <w:rsid w:val="6EAF38A2"/>
    <w:rsid w:val="6EB34837"/>
    <w:rsid w:val="6EC24A7A"/>
    <w:rsid w:val="6ED465B7"/>
    <w:rsid w:val="6EF739FE"/>
    <w:rsid w:val="6F173B21"/>
    <w:rsid w:val="6F981F5B"/>
    <w:rsid w:val="6FCC2071"/>
    <w:rsid w:val="6FE30D76"/>
    <w:rsid w:val="7099190F"/>
    <w:rsid w:val="70E73861"/>
    <w:rsid w:val="7114487E"/>
    <w:rsid w:val="71306613"/>
    <w:rsid w:val="716C237B"/>
    <w:rsid w:val="718A5D23"/>
    <w:rsid w:val="71F654BC"/>
    <w:rsid w:val="72234A4A"/>
    <w:rsid w:val="72860CCE"/>
    <w:rsid w:val="72A73F7D"/>
    <w:rsid w:val="72AA01F1"/>
    <w:rsid w:val="72BC7B85"/>
    <w:rsid w:val="72BE6397"/>
    <w:rsid w:val="72D00D7E"/>
    <w:rsid w:val="72D03C09"/>
    <w:rsid w:val="730F4DBE"/>
    <w:rsid w:val="7377417A"/>
    <w:rsid w:val="74F15BFF"/>
    <w:rsid w:val="754C6FD2"/>
    <w:rsid w:val="75784B01"/>
    <w:rsid w:val="75821684"/>
    <w:rsid w:val="75ED6880"/>
    <w:rsid w:val="766D1C47"/>
    <w:rsid w:val="76845B09"/>
    <w:rsid w:val="769D6296"/>
    <w:rsid w:val="76A1519D"/>
    <w:rsid w:val="7724016D"/>
    <w:rsid w:val="77B56EFF"/>
    <w:rsid w:val="77C466E5"/>
    <w:rsid w:val="77EB66E9"/>
    <w:rsid w:val="785D5F3F"/>
    <w:rsid w:val="78942B35"/>
    <w:rsid w:val="79030169"/>
    <w:rsid w:val="795E6919"/>
    <w:rsid w:val="79736BFB"/>
    <w:rsid w:val="797638B5"/>
    <w:rsid w:val="79AC6E6C"/>
    <w:rsid w:val="79B823DA"/>
    <w:rsid w:val="79E03BA8"/>
    <w:rsid w:val="7A0A4093"/>
    <w:rsid w:val="7A190A5A"/>
    <w:rsid w:val="7A2F3CBE"/>
    <w:rsid w:val="7A8F139B"/>
    <w:rsid w:val="7ADA0D2C"/>
    <w:rsid w:val="7AEB1BEA"/>
    <w:rsid w:val="7AED14BB"/>
    <w:rsid w:val="7B0321EC"/>
    <w:rsid w:val="7B1A0118"/>
    <w:rsid w:val="7B281594"/>
    <w:rsid w:val="7C4B5D18"/>
    <w:rsid w:val="7C546D45"/>
    <w:rsid w:val="7D736C6E"/>
    <w:rsid w:val="7D7C647F"/>
    <w:rsid w:val="7D820D61"/>
    <w:rsid w:val="7DA76DA2"/>
    <w:rsid w:val="7E16733D"/>
    <w:rsid w:val="7E735A8B"/>
    <w:rsid w:val="7E9F54AB"/>
    <w:rsid w:val="7E9F6E89"/>
    <w:rsid w:val="7ECF62DA"/>
    <w:rsid w:val="7F4F5EB6"/>
    <w:rsid w:val="7F7525B2"/>
    <w:rsid w:val="7F810E32"/>
    <w:rsid w:val="7FAA4322"/>
    <w:rsid w:val="7FBC2CE7"/>
    <w:rsid w:val="7FE17456"/>
    <w:rsid w:val="7FFD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4"/>
      <w:szCs w:val="48"/>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unhideWhenUsed/>
    <w:qFormat/>
    <w:uiPriority w:val="99"/>
    <w:pPr>
      <w:spacing w:line="560" w:lineRule="exact"/>
      <w:ind w:firstLine="560"/>
    </w:pPr>
    <w:rPr>
      <w:rFonts w:eastAsia="仿宋_GB2312"/>
      <w:sz w:val="36"/>
      <w:szCs w:val="36"/>
    </w:rPr>
  </w:style>
  <w:style w:type="paragraph" w:styleId="4">
    <w:name w:val="annotation text"/>
    <w:basedOn w:val="1"/>
    <w:link w:val="36"/>
    <w:qFormat/>
    <w:uiPriority w:val="0"/>
    <w:pPr>
      <w:jc w:val="left"/>
    </w:pPr>
  </w:style>
  <w:style w:type="paragraph" w:styleId="5">
    <w:name w:val="Body Text"/>
    <w:basedOn w:val="1"/>
    <w:qFormat/>
    <w:uiPriority w:val="1"/>
    <w:pPr>
      <w:ind w:left="120" w:firstLine="559"/>
    </w:pPr>
    <w:rPr>
      <w:rFonts w:ascii="宋体" w:hAnsi="宋体" w:eastAsia="宋体" w:cs="宋体"/>
      <w:sz w:val="28"/>
      <w:szCs w:val="28"/>
      <w:lang w:val="zh-CN" w:bidi="zh-CN"/>
    </w:rPr>
  </w:style>
  <w:style w:type="paragraph" w:styleId="6">
    <w:name w:val="Body Text Indent 2"/>
    <w:basedOn w:val="1"/>
    <w:qFormat/>
    <w:uiPriority w:val="0"/>
    <w:pPr>
      <w:tabs>
        <w:tab w:val="left" w:pos="2250"/>
      </w:tabs>
      <w:spacing w:before="100" w:beforeAutospacing="1" w:line="400" w:lineRule="atLeast"/>
      <w:ind w:firstLine="629"/>
    </w:pPr>
    <w:rPr>
      <w:rFonts w:eastAsia="宋体"/>
      <w:sz w:val="32"/>
    </w:rPr>
  </w:style>
  <w:style w:type="paragraph" w:styleId="7">
    <w:name w:val="endnote text"/>
    <w:basedOn w:val="1"/>
    <w:qFormat/>
    <w:uiPriority w:val="0"/>
    <w:pPr>
      <w:snapToGrid w:val="0"/>
      <w:jc w:val="left"/>
    </w:pPr>
  </w:style>
  <w:style w:type="paragraph" w:styleId="8">
    <w:name w:val="Balloon Text"/>
    <w:basedOn w:val="1"/>
    <w:link w:val="32"/>
    <w:qFormat/>
    <w:uiPriority w:val="0"/>
    <w:rPr>
      <w:sz w:val="18"/>
      <w:szCs w:val="18"/>
    </w:rPr>
  </w:style>
  <w:style w:type="paragraph" w:styleId="9">
    <w:name w:val="footer"/>
    <w:basedOn w:val="1"/>
    <w:link w:val="30"/>
    <w:qFormat/>
    <w:uiPriority w:val="0"/>
    <w:pPr>
      <w:tabs>
        <w:tab w:val="center" w:pos="4153"/>
        <w:tab w:val="right" w:pos="8306"/>
      </w:tabs>
      <w:snapToGrid w:val="0"/>
      <w:jc w:val="left"/>
    </w:pPr>
    <w:rPr>
      <w:sz w:val="18"/>
      <w:szCs w:val="18"/>
    </w:rPr>
  </w:style>
  <w:style w:type="paragraph" w:styleId="10">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unhideWhenUsed/>
    <w:qFormat/>
    <w:uiPriority w:val="0"/>
    <w:rPr>
      <w:rFonts w:ascii="等线 Light" w:hAnsi="等线 Light" w:eastAsia="等线 Light"/>
      <w:b/>
      <w:bCs/>
    </w:rPr>
  </w:style>
  <w:style w:type="paragraph" w:styleId="12">
    <w:name w:val="index 1"/>
    <w:basedOn w:val="1"/>
    <w:next w:val="1"/>
    <w:unhideWhenUsed/>
    <w:qFormat/>
    <w:uiPriority w:val="0"/>
  </w:style>
  <w:style w:type="paragraph" w:styleId="13">
    <w:name w:val="footnote text"/>
    <w:basedOn w:val="1"/>
    <w:qFormat/>
    <w:uiPriority w:val="0"/>
    <w:pPr>
      <w:snapToGrid w:val="0"/>
      <w:jc w:val="left"/>
    </w:pPr>
    <w:rPr>
      <w:sz w:val="18"/>
    </w:rPr>
  </w:style>
  <w:style w:type="paragraph" w:styleId="1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4"/>
    <w:next w:val="4"/>
    <w:link w:val="37"/>
    <w:qFormat/>
    <w:uiPriority w:val="0"/>
    <w:rPr>
      <w:b/>
      <w:bCs/>
    </w:rPr>
  </w:style>
  <w:style w:type="character" w:styleId="19">
    <w:name w:val="Strong"/>
    <w:basedOn w:val="18"/>
    <w:qFormat/>
    <w:uiPriority w:val="22"/>
    <w:rPr>
      <w:b/>
      <w:bCs/>
    </w:rPr>
  </w:style>
  <w:style w:type="character" w:styleId="20">
    <w:name w:val="endnote reference"/>
    <w:basedOn w:val="18"/>
    <w:qFormat/>
    <w:uiPriority w:val="0"/>
    <w:rPr>
      <w:vertAlign w:val="superscript"/>
    </w:rPr>
  </w:style>
  <w:style w:type="character" w:styleId="21">
    <w:name w:val="FollowedHyperlink"/>
    <w:basedOn w:val="18"/>
    <w:qFormat/>
    <w:uiPriority w:val="0"/>
    <w:rPr>
      <w:color w:val="000000"/>
      <w:u w:val="none"/>
    </w:rPr>
  </w:style>
  <w:style w:type="character" w:styleId="22">
    <w:name w:val="HTML Definition"/>
    <w:basedOn w:val="18"/>
    <w:qFormat/>
    <w:uiPriority w:val="0"/>
    <w:rPr>
      <w:i/>
    </w:rPr>
  </w:style>
  <w:style w:type="character" w:styleId="23">
    <w:name w:val="Hyperlink"/>
    <w:basedOn w:val="18"/>
    <w:qFormat/>
    <w:uiPriority w:val="0"/>
    <w:rPr>
      <w:color w:val="0000FF"/>
      <w:u w:val="single"/>
    </w:rPr>
  </w:style>
  <w:style w:type="character" w:styleId="24">
    <w:name w:val="HTML Code"/>
    <w:basedOn w:val="18"/>
    <w:qFormat/>
    <w:uiPriority w:val="0"/>
    <w:rPr>
      <w:rFonts w:hint="default" w:ascii="Consolas" w:hAnsi="Consolas" w:eastAsia="Consolas" w:cs="Consolas"/>
      <w:color w:val="C7254E"/>
      <w:sz w:val="21"/>
      <w:szCs w:val="21"/>
      <w:shd w:val="clear" w:color="auto" w:fill="F9F2F4"/>
    </w:rPr>
  </w:style>
  <w:style w:type="character" w:styleId="25">
    <w:name w:val="annotation reference"/>
    <w:basedOn w:val="18"/>
    <w:qFormat/>
    <w:uiPriority w:val="0"/>
    <w:rPr>
      <w:sz w:val="21"/>
      <w:szCs w:val="21"/>
    </w:rPr>
  </w:style>
  <w:style w:type="character" w:styleId="26">
    <w:name w:val="footnote reference"/>
    <w:basedOn w:val="18"/>
    <w:qFormat/>
    <w:uiPriority w:val="0"/>
    <w:rPr>
      <w:vertAlign w:val="superscript"/>
    </w:rPr>
  </w:style>
  <w:style w:type="character" w:styleId="27">
    <w:name w:val="HTML Keyboard"/>
    <w:basedOn w:val="18"/>
    <w:qFormat/>
    <w:uiPriority w:val="0"/>
    <w:rPr>
      <w:rFonts w:ascii="Consolas" w:hAnsi="Consolas" w:eastAsia="Consolas" w:cs="Consolas"/>
      <w:color w:val="FFFFFF"/>
      <w:sz w:val="21"/>
      <w:szCs w:val="21"/>
      <w:shd w:val="clear" w:color="auto" w:fill="333333"/>
    </w:rPr>
  </w:style>
  <w:style w:type="character" w:styleId="28">
    <w:name w:val="HTML Sample"/>
    <w:basedOn w:val="18"/>
    <w:qFormat/>
    <w:uiPriority w:val="0"/>
    <w:rPr>
      <w:rFonts w:hint="default" w:ascii="Consolas" w:hAnsi="Consolas" w:eastAsia="Consolas" w:cs="Consolas"/>
      <w:sz w:val="21"/>
      <w:szCs w:val="21"/>
    </w:rPr>
  </w:style>
  <w:style w:type="character" w:customStyle="1" w:styleId="29">
    <w:name w:val="页眉 Char"/>
    <w:basedOn w:val="18"/>
    <w:link w:val="10"/>
    <w:qFormat/>
    <w:uiPriority w:val="0"/>
    <w:rPr>
      <w:kern w:val="2"/>
      <w:sz w:val="18"/>
      <w:szCs w:val="18"/>
    </w:rPr>
  </w:style>
  <w:style w:type="character" w:customStyle="1" w:styleId="30">
    <w:name w:val="页脚 Char"/>
    <w:basedOn w:val="18"/>
    <w:link w:val="9"/>
    <w:qFormat/>
    <w:uiPriority w:val="0"/>
    <w:rPr>
      <w:kern w:val="2"/>
      <w:sz w:val="18"/>
      <w:szCs w:val="18"/>
    </w:rPr>
  </w:style>
  <w:style w:type="paragraph" w:styleId="31">
    <w:name w:val="List Paragraph"/>
    <w:basedOn w:val="1"/>
    <w:unhideWhenUsed/>
    <w:qFormat/>
    <w:uiPriority w:val="99"/>
    <w:pPr>
      <w:ind w:firstLine="420" w:firstLineChars="200"/>
    </w:pPr>
  </w:style>
  <w:style w:type="character" w:customStyle="1" w:styleId="32">
    <w:name w:val="批注框文本 Char"/>
    <w:basedOn w:val="18"/>
    <w:link w:val="8"/>
    <w:qFormat/>
    <w:uiPriority w:val="0"/>
    <w:rPr>
      <w:kern w:val="2"/>
      <w:sz w:val="18"/>
      <w:szCs w:val="18"/>
    </w:rPr>
  </w:style>
  <w:style w:type="character" w:customStyle="1" w:styleId="33">
    <w:name w:val="NormalCharacter"/>
    <w:qFormat/>
    <w:uiPriority w:val="0"/>
    <w:rPr>
      <w:rFonts w:ascii="Times New Roman" w:hAnsi="Times New Roman" w:eastAsia="宋体" w:cs="Times New Roman"/>
      <w:kern w:val="2"/>
      <w:sz w:val="21"/>
      <w:szCs w:val="24"/>
      <w:lang w:val="en-US" w:eastAsia="zh-CN" w:bidi="ar-SA"/>
    </w:rPr>
  </w:style>
  <w:style w:type="character" w:customStyle="1" w:styleId="34">
    <w:name w:val="tishi"/>
    <w:basedOn w:val="18"/>
    <w:qFormat/>
    <w:uiPriority w:val="0"/>
    <w:rPr>
      <w:color w:val="999999"/>
    </w:rPr>
  </w:style>
  <w:style w:type="paragraph" w:customStyle="1" w:styleId="35">
    <w:name w:val="Default"/>
    <w:unhideWhenUsed/>
    <w:qFormat/>
    <w:uiPriority w:val="99"/>
    <w:pPr>
      <w:widowControl w:val="0"/>
      <w:autoSpaceDE w:val="0"/>
      <w:autoSpaceDN w:val="0"/>
      <w:adjustRightInd w:val="0"/>
    </w:pPr>
    <w:rPr>
      <w:rFonts w:ascii="仿宋_GB2312" w:hAnsi="仿宋_GB2312" w:eastAsia="仿宋_GB2312" w:cs="Times New Roman"/>
      <w:color w:val="000000"/>
      <w:sz w:val="24"/>
      <w:lang w:val="en-US" w:eastAsia="zh-CN" w:bidi="ar-SA"/>
    </w:rPr>
  </w:style>
  <w:style w:type="character" w:customStyle="1" w:styleId="36">
    <w:name w:val="批注文字 Char"/>
    <w:basedOn w:val="18"/>
    <w:link w:val="4"/>
    <w:qFormat/>
    <w:uiPriority w:val="0"/>
    <w:rPr>
      <w:rFonts w:asciiTheme="minorHAnsi" w:hAnsiTheme="minorHAnsi" w:eastAsiaTheme="minorEastAsia" w:cstheme="minorBidi"/>
      <w:kern w:val="2"/>
      <w:sz w:val="21"/>
      <w:szCs w:val="24"/>
    </w:rPr>
  </w:style>
  <w:style w:type="character" w:customStyle="1" w:styleId="37">
    <w:name w:val="批注主题 Char"/>
    <w:basedOn w:val="36"/>
    <w:link w:val="16"/>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847</Words>
  <Characters>4834</Characters>
  <Lines>40</Lines>
  <Paragraphs>11</Paragraphs>
  <TotalTime>21</TotalTime>
  <ScaleCrop>false</ScaleCrop>
  <LinksUpToDate>false</LinksUpToDate>
  <CharactersWithSpaces>5670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2022-07-25T14:19:00Z</dcterms:created>
  <dc:creator>86152</dc:creator>
  <cp:lastModifiedBy>XC</cp:lastModifiedBy>
  <cp:lastPrinted>2023-02-28T08:05:00Z</cp:lastPrinted>
  <dcterms:modified xsi:type="dcterms:W3CDTF">2023-03-03T02:59:53Z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52A85C2819714D8BB42BDCBFC83E4FC3</vt:lpwstr>
  </property>
</Properties>
</file>