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4" w:rsidRDefault="00046676" w:rsidP="00046676">
      <w:pPr>
        <w:pStyle w:val="a4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046676">
        <w:rPr>
          <w:rFonts w:ascii="Times New Roman" w:eastAsia="方正小标宋简体" w:hAnsi="Times New Roman" w:hint="eastAsia"/>
          <w:b/>
          <w:bCs/>
          <w:sz w:val="44"/>
          <w:szCs w:val="44"/>
        </w:rPr>
        <w:t>《关于支持国家级金融科技示范区建设的若干措施》</w:t>
      </w:r>
      <w:r w:rsidR="001629ED">
        <w:rPr>
          <w:rFonts w:ascii="Times New Roman" w:eastAsia="方正小标宋简体" w:hAnsi="Times New Roman" w:hint="eastAsia"/>
          <w:b/>
          <w:bCs/>
          <w:sz w:val="44"/>
          <w:szCs w:val="44"/>
        </w:rPr>
        <w:t>的</w:t>
      </w:r>
      <w:r w:rsidRPr="00046676">
        <w:rPr>
          <w:rFonts w:ascii="Times New Roman" w:eastAsia="方正小标宋简体" w:hAnsi="Times New Roman" w:hint="eastAsia"/>
          <w:b/>
          <w:bCs/>
          <w:sz w:val="44"/>
          <w:szCs w:val="44"/>
        </w:rPr>
        <w:t>起草说明</w:t>
      </w:r>
    </w:p>
    <w:p w:rsidR="00046676" w:rsidRDefault="00046676" w:rsidP="00046676">
      <w:pPr>
        <w:pStyle w:val="a4"/>
        <w:jc w:val="center"/>
        <w:rPr>
          <w:rFonts w:ascii="Times New Roman" w:hAnsi="Times New Roman"/>
        </w:rPr>
      </w:pPr>
    </w:p>
    <w:p w:rsidR="006D2456" w:rsidRDefault="006D2456" w:rsidP="006D245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一、政策制定背景和过程</w:t>
      </w:r>
    </w:p>
    <w:p w:rsidR="006D2456" w:rsidRDefault="006D2456" w:rsidP="006D2456">
      <w:pPr>
        <w:pStyle w:val="a0"/>
        <w:spacing w:line="560" w:lineRule="exact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（一）制定背景</w:t>
      </w:r>
    </w:p>
    <w:p w:rsidR="006D2456" w:rsidRDefault="006D2456" w:rsidP="006D24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月，北京市政府决策设立北京金融科技与专业服务创新示范区。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月，为构建安全有序的金融科技产业生态，</w:t>
      </w:r>
      <w:r>
        <w:rPr>
          <w:rFonts w:ascii="Times New Roman" w:eastAsia="仿宋_GB2312" w:hAnsi="Times New Roman"/>
          <w:sz w:val="32"/>
          <w:szCs w:val="32"/>
        </w:rPr>
        <w:t>中关村管委会、西城区政府、金融</w:t>
      </w:r>
      <w:proofErr w:type="gramStart"/>
      <w:r>
        <w:rPr>
          <w:rFonts w:ascii="Times New Roman" w:eastAsia="仿宋_GB2312" w:hAnsi="Times New Roman"/>
          <w:sz w:val="32"/>
          <w:szCs w:val="32"/>
        </w:rPr>
        <w:t>街服务</w:t>
      </w:r>
      <w:proofErr w:type="gramEnd"/>
      <w:r>
        <w:rPr>
          <w:rFonts w:ascii="Times New Roman" w:eastAsia="仿宋_GB2312" w:hAnsi="Times New Roman"/>
          <w:sz w:val="32"/>
          <w:szCs w:val="32"/>
        </w:rPr>
        <w:t>局</w:t>
      </w:r>
      <w:r>
        <w:rPr>
          <w:rFonts w:ascii="Times New Roman" w:eastAsia="仿宋_GB2312" w:hAnsi="Times New Roman" w:hint="eastAsia"/>
          <w:sz w:val="32"/>
          <w:szCs w:val="32"/>
        </w:rPr>
        <w:t>颁布实施</w:t>
      </w:r>
      <w:r>
        <w:rPr>
          <w:rFonts w:ascii="Times New Roman" w:eastAsia="仿宋_GB2312" w:hAnsi="Times New Roman"/>
          <w:sz w:val="32"/>
          <w:szCs w:val="32"/>
        </w:rPr>
        <w:t>《关于支持北京金融科技与专业服务创新示范区（西城区域）建设若干措施》（西行规发〔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号，以下简称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金科十条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，有效期至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月。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月，在国务院批复的《全面推进北京市服务业扩大开放综合试点工作方案》中，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明确西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城区建设国家级金融科技示范区，标志着示范区上升为国家战略。</w:t>
      </w:r>
    </w:p>
    <w:p w:rsidR="006D2456" w:rsidRDefault="006D2456" w:rsidP="006D24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“金科十条”颁布实施以来，累计支持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中移金科</w:t>
      </w:r>
      <w:proofErr w:type="gramEnd"/>
      <w:r>
        <w:rPr>
          <w:rFonts w:ascii="Times New Roman" w:eastAsia="仿宋_GB2312" w:hAnsi="Times New Roman"/>
          <w:sz w:val="32"/>
          <w:szCs w:val="32"/>
        </w:rPr>
        <w:t>、中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证信息</w:t>
      </w:r>
      <w:proofErr w:type="gramEnd"/>
      <w:r>
        <w:rPr>
          <w:rFonts w:ascii="Times New Roman" w:eastAsia="仿宋_GB2312" w:hAnsi="Times New Roman"/>
          <w:sz w:val="32"/>
          <w:szCs w:val="32"/>
        </w:rPr>
        <w:t>等数十家</w:t>
      </w:r>
      <w:r>
        <w:rPr>
          <w:rFonts w:ascii="Times New Roman" w:eastAsia="仿宋_GB2312" w:hAnsi="Times New Roman" w:hint="eastAsia"/>
          <w:sz w:val="32"/>
          <w:szCs w:val="32"/>
        </w:rPr>
        <w:t>经</w:t>
      </w:r>
      <w:r>
        <w:rPr>
          <w:rFonts w:ascii="Times New Roman" w:eastAsia="仿宋_GB2312" w:hAnsi="Times New Roman"/>
          <w:sz w:val="32"/>
          <w:szCs w:val="32"/>
        </w:rPr>
        <w:t>认定的金融科技机构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新动力金融科技中心、国新基金广场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重点楼宇，在降低企业运营成本、支持企业创新发展、优化产业发展环境等方面成效</w:t>
      </w:r>
      <w:r>
        <w:rPr>
          <w:rFonts w:ascii="Times New Roman" w:eastAsia="仿宋_GB2312" w:hAnsi="Times New Roman" w:hint="eastAsia"/>
          <w:sz w:val="32"/>
          <w:szCs w:val="32"/>
        </w:rPr>
        <w:t>显著。</w:t>
      </w:r>
      <w:r>
        <w:rPr>
          <w:rFonts w:ascii="Times New Roman" w:eastAsia="仿宋_GB2312" w:hAnsi="Times New Roman"/>
          <w:sz w:val="32"/>
        </w:rPr>
        <w:t>政策带动一批优质金融科技资源集聚，促进高品质空间载体释放</w:t>
      </w:r>
      <w:r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/>
          <w:sz w:val="32"/>
        </w:rPr>
        <w:t>经济效益</w:t>
      </w:r>
      <w:r>
        <w:rPr>
          <w:rFonts w:ascii="Times New Roman" w:eastAsia="仿宋_GB2312" w:hAnsi="Times New Roman" w:hint="eastAsia"/>
          <w:sz w:val="32"/>
        </w:rPr>
        <w:t>和引导激励效果逐步显现。</w:t>
      </w:r>
    </w:p>
    <w:p w:rsidR="006D2456" w:rsidRDefault="006D2456" w:rsidP="006D24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为高水平服务支撑国际科技创新中心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国家金融管理中心建设，</w:t>
      </w:r>
      <w:r>
        <w:rPr>
          <w:rFonts w:ascii="Times New Roman" w:eastAsia="仿宋_GB2312" w:hAnsi="Times New Roman" w:hint="eastAsia"/>
          <w:sz w:val="32"/>
          <w:szCs w:val="32"/>
        </w:rPr>
        <w:t>加快打造国际一流金科新区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续优化</w:t>
      </w:r>
      <w:r>
        <w:rPr>
          <w:rFonts w:ascii="Times New Roman" w:eastAsia="仿宋_GB2312" w:hAnsi="Times New Roman"/>
          <w:sz w:val="32"/>
          <w:szCs w:val="32"/>
        </w:rPr>
        <w:t>创新发展良好生态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营商环境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完善产业政策支持体系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西城园管委</w:t>
      </w:r>
      <w:r>
        <w:rPr>
          <w:rFonts w:ascii="Times New Roman" w:eastAsia="仿宋_GB2312" w:hAnsi="Times New Roman" w:hint="eastAsia"/>
          <w:sz w:val="32"/>
          <w:szCs w:val="32"/>
        </w:rPr>
        <w:t>会牵头启动了</w:t>
      </w:r>
      <w:r>
        <w:rPr>
          <w:rFonts w:ascii="Times New Roman" w:eastAsia="仿宋_GB2312" w:hAnsi="Times New Roman"/>
          <w:sz w:val="32"/>
          <w:szCs w:val="32"/>
        </w:rPr>
        <w:t>《关于支持国家级金融科技示范区建设若干措施》</w:t>
      </w:r>
      <w:r>
        <w:rPr>
          <w:rFonts w:ascii="Times New Roman" w:eastAsia="仿宋_GB2312" w:hAnsi="Times New Roman" w:hint="eastAsia"/>
          <w:sz w:val="32"/>
          <w:szCs w:val="32"/>
        </w:rPr>
        <w:t>（以下简称新版“金科十条”）制定工作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D2456" w:rsidRDefault="006D2456" w:rsidP="006D2456">
      <w:pPr>
        <w:spacing w:line="560" w:lineRule="exact"/>
        <w:ind w:firstLineChars="200" w:firstLine="643"/>
        <w:rPr>
          <w:rFonts w:ascii="Cambria" w:eastAsia="楷体" w:hAnsi="Cambria"/>
          <w:b/>
          <w:bCs/>
          <w:sz w:val="32"/>
          <w:szCs w:val="32"/>
        </w:rPr>
      </w:pPr>
      <w:r>
        <w:rPr>
          <w:rFonts w:ascii="Cambria" w:eastAsia="楷体" w:hAnsi="Cambria" w:hint="eastAsia"/>
          <w:b/>
          <w:bCs/>
          <w:sz w:val="32"/>
          <w:szCs w:val="32"/>
        </w:rPr>
        <w:t>（二）制定过程</w:t>
      </w:r>
    </w:p>
    <w:p w:rsidR="006D2456" w:rsidRDefault="006D2456" w:rsidP="006D24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年，</w:t>
      </w:r>
      <w:r>
        <w:rPr>
          <w:rFonts w:ascii="Times New Roman" w:eastAsia="仿宋_GB2312" w:hAnsi="Times New Roman"/>
          <w:sz w:val="32"/>
          <w:szCs w:val="32"/>
        </w:rPr>
        <w:t>西城园管委会与第三</w:t>
      </w:r>
      <w:proofErr w:type="gramStart"/>
      <w:r>
        <w:rPr>
          <w:rFonts w:ascii="Times New Roman" w:eastAsia="仿宋_GB2312" w:hAnsi="Times New Roman"/>
          <w:sz w:val="32"/>
          <w:szCs w:val="32"/>
        </w:rPr>
        <w:t>方专业</w:t>
      </w:r>
      <w:proofErr w:type="gramEnd"/>
      <w:r>
        <w:rPr>
          <w:rFonts w:ascii="Times New Roman" w:eastAsia="仿宋_GB2312" w:hAnsi="Times New Roman"/>
          <w:sz w:val="32"/>
          <w:szCs w:val="32"/>
        </w:rPr>
        <w:t>机构对</w:t>
      </w:r>
      <w:r>
        <w:rPr>
          <w:rFonts w:ascii="Times New Roman" w:eastAsia="仿宋_GB2312" w:hAnsi="Times New Roman" w:hint="eastAsia"/>
          <w:sz w:val="32"/>
          <w:szCs w:val="32"/>
        </w:rPr>
        <w:t>“金科十条”</w:t>
      </w:r>
      <w:r>
        <w:rPr>
          <w:rFonts w:ascii="Times New Roman" w:eastAsia="仿宋_GB2312" w:hAnsi="Times New Roman"/>
          <w:sz w:val="32"/>
          <w:szCs w:val="32"/>
        </w:rPr>
        <w:t>开展了绩效考核评价</w:t>
      </w:r>
      <w:r>
        <w:rPr>
          <w:rFonts w:ascii="Times New Roman" w:eastAsia="仿宋_GB2312" w:hAnsi="Times New Roman" w:hint="eastAsia"/>
          <w:sz w:val="32"/>
          <w:szCs w:val="32"/>
        </w:rPr>
        <w:t>。根据</w:t>
      </w:r>
      <w:r>
        <w:rPr>
          <w:rFonts w:ascii="Times New Roman" w:eastAsia="仿宋_GB2312" w:hAnsi="Times New Roman"/>
          <w:sz w:val="32"/>
          <w:szCs w:val="32"/>
        </w:rPr>
        <w:t>第三方绩效评估</w:t>
      </w:r>
      <w:r>
        <w:rPr>
          <w:rFonts w:ascii="Times New Roman" w:eastAsia="仿宋_GB2312" w:hAnsi="Times New Roman" w:hint="eastAsia"/>
          <w:sz w:val="32"/>
          <w:szCs w:val="32"/>
        </w:rPr>
        <w:t>结果，结合</w:t>
      </w:r>
      <w:r>
        <w:rPr>
          <w:rFonts w:ascii="Times New Roman" w:eastAsia="仿宋_GB2312" w:hAnsi="Times New Roman"/>
          <w:sz w:val="32"/>
          <w:szCs w:val="32"/>
        </w:rPr>
        <w:t>企业调研</w:t>
      </w:r>
      <w:r>
        <w:rPr>
          <w:rFonts w:ascii="Times New Roman" w:eastAsia="仿宋_GB2312" w:hAnsi="Times New Roman" w:hint="eastAsia"/>
          <w:sz w:val="32"/>
          <w:szCs w:val="32"/>
        </w:rPr>
        <w:t>情况，我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委完成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新版“金科十条”征求意见稿起草工作。此后，我委</w:t>
      </w:r>
      <w:r>
        <w:rPr>
          <w:rFonts w:ascii="Times New Roman" w:eastAsia="仿宋_GB2312" w:hAnsi="Times New Roman"/>
          <w:sz w:val="32"/>
          <w:szCs w:val="32"/>
        </w:rPr>
        <w:t>多次召开座谈会征求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专家、企业代表、市级部门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意见</w:t>
      </w:r>
      <w:r>
        <w:rPr>
          <w:rFonts w:ascii="Times New Roman" w:eastAsia="仿宋_GB2312" w:hAnsi="Times New Roman" w:hint="eastAsia"/>
          <w:sz w:val="32"/>
          <w:szCs w:val="32"/>
        </w:rPr>
        <w:t>建议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最终</w:t>
      </w:r>
      <w:r>
        <w:rPr>
          <w:rFonts w:ascii="Times New Roman" w:eastAsia="仿宋_GB2312" w:hAnsi="Times New Roman"/>
          <w:sz w:val="32"/>
          <w:szCs w:val="32"/>
        </w:rPr>
        <w:t>形成新版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金科十条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征求意见稿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D2456" w:rsidRDefault="006D2456" w:rsidP="006D245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</w:t>
      </w:r>
      <w:r>
        <w:rPr>
          <w:rFonts w:ascii="Times New Roman" w:eastAsia="黑体" w:hAnsi="Times New Roman"/>
          <w:sz w:val="32"/>
          <w:szCs w:val="32"/>
        </w:rPr>
        <w:t>新版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Times New Roman" w:eastAsia="黑体" w:hAnsi="Times New Roman"/>
          <w:sz w:val="32"/>
          <w:szCs w:val="32"/>
        </w:rPr>
        <w:t>金科十条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Times New Roman" w:eastAsia="黑体" w:hAnsi="Times New Roman" w:hint="eastAsia"/>
          <w:sz w:val="32"/>
          <w:szCs w:val="32"/>
        </w:rPr>
        <w:t>主要特色和内容</w:t>
      </w:r>
    </w:p>
    <w:p w:rsidR="006D2456" w:rsidRDefault="006D2456" w:rsidP="006D2456">
      <w:pPr>
        <w:pStyle w:val="a5"/>
        <w:spacing w:line="560" w:lineRule="exact"/>
        <w:ind w:firstLineChars="200" w:firstLine="643"/>
        <w:jc w:val="both"/>
        <w:rPr>
          <w:rFonts w:ascii="楷体" w:eastAsia="楷体" w:hAnsi="楷体" w:cs="楷体"/>
          <w:b/>
          <w:bCs/>
          <w:kern w:val="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2"/>
          <w:sz w:val="32"/>
          <w:szCs w:val="32"/>
        </w:rPr>
        <w:t>（一）主要特色</w:t>
      </w:r>
    </w:p>
    <w:p w:rsidR="006D2456" w:rsidRDefault="006D2456" w:rsidP="006D2456">
      <w:pPr>
        <w:spacing w:line="56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一</w:t>
      </w:r>
      <w:r>
        <w:rPr>
          <w:rFonts w:ascii="Times New Roman" w:eastAsia="仿宋_GB2312" w:hAnsi="Times New Roman"/>
          <w:b/>
          <w:sz w:val="32"/>
          <w:szCs w:val="32"/>
        </w:rPr>
        <w:t>是打造生态。</w:t>
      </w:r>
      <w:r>
        <w:rPr>
          <w:rFonts w:ascii="Times New Roman" w:eastAsia="仿宋_GB2312" w:hAnsi="Times New Roman" w:hint="eastAsia"/>
          <w:bCs/>
          <w:sz w:val="32"/>
          <w:szCs w:val="32"/>
        </w:rPr>
        <w:t>深入贯彻</w:t>
      </w:r>
      <w:r>
        <w:rPr>
          <w:rFonts w:ascii="Times New Roman" w:eastAsia="仿宋_GB2312" w:hAnsi="Times New Roman"/>
          <w:bCs/>
          <w:sz w:val="32"/>
          <w:szCs w:val="32"/>
        </w:rPr>
        <w:t>人民银行《金融科技发展规划</w:t>
      </w:r>
      <w:r>
        <w:rPr>
          <w:rFonts w:ascii="Times New Roman" w:eastAsia="仿宋_GB2312" w:hAnsi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2022—2025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》精神，加强顶层设计和统筹衔接，持续推进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两区</w:t>
      </w:r>
      <w:r>
        <w:rPr>
          <w:rFonts w:ascii="Times New Roman" w:eastAsia="仿宋_GB2312" w:hAnsi="Times New Roman"/>
          <w:bCs/>
          <w:sz w:val="32"/>
          <w:szCs w:val="32"/>
        </w:rPr>
        <w:t>”“</w:t>
      </w:r>
      <w:r>
        <w:rPr>
          <w:rFonts w:ascii="Times New Roman" w:eastAsia="仿宋_GB2312" w:hAnsi="Times New Roman"/>
          <w:bCs/>
          <w:sz w:val="32"/>
          <w:szCs w:val="32"/>
        </w:rPr>
        <w:t>三平台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建设，</w:t>
      </w:r>
      <w:bookmarkStart w:id="0" w:name="_Hlk85889960"/>
      <w:r>
        <w:rPr>
          <w:rFonts w:ascii="Times New Roman" w:eastAsia="仿宋_GB2312" w:hAnsi="Times New Roman" w:hint="eastAsia"/>
          <w:bCs/>
          <w:sz w:val="32"/>
          <w:szCs w:val="32"/>
        </w:rPr>
        <w:t>以</w:t>
      </w:r>
      <w:r>
        <w:rPr>
          <w:rFonts w:ascii="Times New Roman" w:eastAsia="仿宋_GB2312" w:hAnsi="Times New Roman"/>
          <w:bCs/>
          <w:sz w:val="32"/>
          <w:szCs w:val="32"/>
        </w:rPr>
        <w:t>加快打造国家级金融科技示范区</w:t>
      </w:r>
      <w:bookmarkEnd w:id="0"/>
      <w:r>
        <w:rPr>
          <w:rFonts w:ascii="Times New Roman" w:eastAsia="仿宋_GB2312" w:hAnsi="Times New Roman"/>
          <w:bCs/>
          <w:sz w:val="32"/>
          <w:szCs w:val="32"/>
        </w:rPr>
        <w:t>金融科技产业创新发展良好生态为抓手，在营商环境、专业服务、标准创制等方面，扩大品质服务供给，释放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优质产业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生态效应，积极构筑功能完备、系统高效、共建共享的创新生态体系。</w:t>
      </w:r>
    </w:p>
    <w:p w:rsidR="006D2456" w:rsidRDefault="006D2456" w:rsidP="006D2456">
      <w:pPr>
        <w:spacing w:line="56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二是培育动能</w:t>
      </w:r>
      <w:r>
        <w:rPr>
          <w:rFonts w:ascii="Times New Roman" w:eastAsia="仿宋_GB2312" w:hAnsi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/>
          <w:bCs/>
          <w:sz w:val="32"/>
          <w:szCs w:val="32"/>
        </w:rPr>
        <w:t>充分学习借鉴各省市金融科技产业支持政策，深入分析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判金科新区产业现状及企业发展特点，从注册落户和发展贡献两个维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度给予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政策</w:t>
      </w:r>
      <w:r>
        <w:rPr>
          <w:rFonts w:ascii="Times New Roman" w:eastAsia="仿宋_GB2312" w:hAnsi="Times New Roman"/>
          <w:bCs/>
          <w:sz w:val="32"/>
          <w:szCs w:val="32"/>
        </w:rPr>
        <w:t>，既体现增量引进和存量提升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两手抓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也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体现对企业注册、办公、发展等全生命周期</w:t>
      </w:r>
      <w:r>
        <w:rPr>
          <w:rFonts w:ascii="Times New Roman" w:eastAsia="仿宋_GB2312" w:hAnsi="Times New Roman" w:hint="eastAsia"/>
          <w:bCs/>
          <w:sz w:val="32"/>
          <w:szCs w:val="32"/>
        </w:rPr>
        <w:t>的</w:t>
      </w:r>
      <w:r>
        <w:rPr>
          <w:rFonts w:ascii="Times New Roman" w:eastAsia="仿宋_GB2312" w:hAnsi="Times New Roman"/>
          <w:bCs/>
          <w:sz w:val="32"/>
          <w:szCs w:val="32"/>
        </w:rPr>
        <w:t>支持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/>
          <w:bCs/>
          <w:sz w:val="32"/>
          <w:szCs w:val="32"/>
        </w:rPr>
        <w:t>以政策为牵引，加快引进高能级金融科技企业和专业服务机构，提升规模化、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集群化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发展效应。依托区域资源优势</w:t>
      </w:r>
      <w:r w:rsidR="00D76F05">
        <w:rPr>
          <w:rFonts w:ascii="Times New Roman" w:eastAsia="仿宋_GB2312" w:hAnsi="Times New Roman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提升驻区企业和机构的创新能级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6D2456" w:rsidRDefault="006D2456" w:rsidP="006D2456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/>
          <w:b/>
          <w:sz w:val="32"/>
          <w:szCs w:val="32"/>
        </w:rPr>
        <w:t>是创新</w:t>
      </w:r>
      <w:r>
        <w:rPr>
          <w:rFonts w:ascii="Times New Roman" w:eastAsia="仿宋_GB2312" w:hAnsi="Times New Roman" w:hint="eastAsia"/>
          <w:b/>
          <w:sz w:val="32"/>
          <w:szCs w:val="32"/>
        </w:rPr>
        <w:t>引领</w:t>
      </w:r>
      <w:r>
        <w:rPr>
          <w:rFonts w:ascii="Times New Roman" w:eastAsia="仿宋_GB2312" w:hAnsi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hint="eastAsia"/>
          <w:bCs/>
          <w:sz w:val="32"/>
          <w:szCs w:val="32"/>
        </w:rPr>
        <w:t>紧紧围绕国际科技创新中心建设，坚持科技是第一生产力、创新是第一动力，</w:t>
      </w:r>
      <w:r>
        <w:rPr>
          <w:rFonts w:ascii="Times New Roman" w:eastAsia="仿宋_GB2312" w:hAnsi="Times New Roman"/>
          <w:bCs/>
          <w:sz w:val="32"/>
          <w:szCs w:val="32"/>
          <w:lang w:val="zh-CN"/>
        </w:rPr>
        <w:t>充分发挥科技赋能作用，</w:t>
      </w:r>
      <w:r>
        <w:rPr>
          <w:rFonts w:ascii="Times New Roman" w:eastAsia="仿宋_GB2312" w:hAnsi="Times New Roman"/>
          <w:bCs/>
          <w:sz w:val="32"/>
          <w:szCs w:val="32"/>
        </w:rPr>
        <w:t>以应用为导向，鼓励开展关键核心技术研发，搭建重大创新平台，拓展场景应用和承载空间，</w:t>
      </w:r>
      <w:r>
        <w:rPr>
          <w:rFonts w:ascii="Times New Roman" w:eastAsia="仿宋_GB2312" w:hAnsi="Times New Roman"/>
          <w:sz w:val="32"/>
          <w:szCs w:val="32"/>
          <w:lang w:val="zh-CN"/>
        </w:rPr>
        <w:t>推动金融科技领域前沿技术创新，带动监管工具转化和应用场景落地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。</w:t>
      </w:r>
    </w:p>
    <w:p w:rsidR="006D2456" w:rsidRDefault="006D2456" w:rsidP="006D2456">
      <w:pPr>
        <w:spacing w:line="56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/>
          <w:b/>
          <w:sz w:val="32"/>
          <w:szCs w:val="32"/>
        </w:rPr>
        <w:t>是贡献导向。</w:t>
      </w:r>
      <w:r>
        <w:rPr>
          <w:rFonts w:ascii="Times New Roman" w:eastAsia="仿宋_GB2312" w:hAnsi="Times New Roman"/>
          <w:kern w:val="0"/>
          <w:sz w:val="32"/>
          <w:szCs w:val="32"/>
        </w:rPr>
        <w:t>加强整体性统筹规划，围绕区级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产业十条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等新出台政策导向，</w:t>
      </w:r>
      <w:r>
        <w:rPr>
          <w:rFonts w:ascii="Times New Roman" w:eastAsia="仿宋_GB2312" w:hAnsi="Times New Roman"/>
          <w:bCs/>
          <w:sz w:val="32"/>
          <w:szCs w:val="32"/>
        </w:rPr>
        <w:t>把握资金重点支持方向，突出专业服务机构在企业落户过程中的引荐</w:t>
      </w:r>
      <w:r>
        <w:rPr>
          <w:rFonts w:ascii="Times New Roman" w:eastAsia="仿宋_GB2312" w:hAnsi="Times New Roman" w:hint="eastAsia"/>
          <w:bCs/>
          <w:sz w:val="32"/>
          <w:szCs w:val="32"/>
        </w:rPr>
        <w:t>作用。</w:t>
      </w:r>
      <w:r>
        <w:rPr>
          <w:rFonts w:ascii="Times New Roman" w:eastAsia="仿宋_GB2312" w:hAnsi="Times New Roman"/>
          <w:kern w:val="0"/>
          <w:sz w:val="32"/>
          <w:szCs w:val="32"/>
        </w:rPr>
        <w:t>细化经济产出和质量效益指标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，突出企业区域贡献，加速推进国家级金科新区建设，助力提升国家金融管理中心服务能级。强化</w:t>
      </w:r>
      <w:r>
        <w:rPr>
          <w:rFonts w:ascii="Times New Roman" w:eastAsia="仿宋_GB2312" w:hAnsi="Times New Roman"/>
          <w:kern w:val="0"/>
          <w:sz w:val="32"/>
          <w:szCs w:val="32"/>
        </w:rPr>
        <w:t>政策绩效动态评估，</w:t>
      </w:r>
      <w:r>
        <w:rPr>
          <w:rFonts w:ascii="Times New Roman" w:eastAsia="仿宋_GB2312" w:hAnsi="Times New Roman" w:hint="eastAsia"/>
          <w:bCs/>
          <w:sz w:val="32"/>
          <w:szCs w:val="32"/>
        </w:rPr>
        <w:t>确保</w:t>
      </w:r>
      <w:r>
        <w:rPr>
          <w:rFonts w:ascii="Times New Roman" w:eastAsia="仿宋_GB2312" w:hAnsi="Times New Roman"/>
          <w:kern w:val="0"/>
          <w:sz w:val="32"/>
          <w:szCs w:val="32"/>
        </w:rPr>
        <w:t>政策实施成效。</w:t>
      </w:r>
    </w:p>
    <w:p w:rsidR="006D2456" w:rsidRDefault="006D2456" w:rsidP="006D2456">
      <w:pPr>
        <w:spacing w:line="56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五是</w:t>
      </w:r>
      <w:r>
        <w:rPr>
          <w:rFonts w:ascii="Times New Roman" w:eastAsia="仿宋_GB2312" w:hAnsi="Times New Roman"/>
          <w:b/>
          <w:sz w:val="32"/>
          <w:szCs w:val="32"/>
        </w:rPr>
        <w:t>市区</w:t>
      </w:r>
      <w:r>
        <w:rPr>
          <w:rFonts w:ascii="Times New Roman" w:eastAsia="仿宋_GB2312" w:hAnsi="Times New Roman" w:hint="eastAsia"/>
          <w:b/>
          <w:sz w:val="32"/>
          <w:szCs w:val="32"/>
        </w:rPr>
        <w:t>协同和高度集成</w:t>
      </w:r>
      <w:r>
        <w:rPr>
          <w:rFonts w:ascii="Times New Roman" w:eastAsia="仿宋_GB2312" w:hAnsi="Times New Roman"/>
          <w:b/>
          <w:sz w:val="32"/>
          <w:szCs w:val="32"/>
        </w:rPr>
        <w:t>。</w:t>
      </w:r>
      <w:r>
        <w:rPr>
          <w:rFonts w:ascii="Times New Roman" w:eastAsia="仿宋_GB2312" w:hAnsi="Times New Roman"/>
          <w:bCs/>
          <w:sz w:val="32"/>
          <w:szCs w:val="32"/>
        </w:rPr>
        <w:t>加强市级部门和区级政府交流对接，</w:t>
      </w:r>
      <w:r>
        <w:rPr>
          <w:rFonts w:ascii="Times New Roman" w:eastAsia="仿宋_GB2312" w:hAnsi="Times New Roman" w:hint="eastAsia"/>
          <w:bCs/>
          <w:sz w:val="32"/>
          <w:szCs w:val="32"/>
        </w:rPr>
        <w:t>以</w:t>
      </w:r>
      <w:r>
        <w:rPr>
          <w:rFonts w:ascii="Times New Roman" w:eastAsia="仿宋_GB2312" w:hAnsi="Times New Roman"/>
          <w:bCs/>
          <w:sz w:val="32"/>
          <w:szCs w:val="32"/>
        </w:rPr>
        <w:t>联合发文形式强化政策落地实施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/>
          <w:bCs/>
          <w:sz w:val="32"/>
          <w:szCs w:val="32"/>
        </w:rPr>
        <w:t>大力推荐符合条件的金科新区企业申报市级政策支持，进一步提升市区协同效应</w:t>
      </w:r>
      <w:r>
        <w:rPr>
          <w:rFonts w:ascii="Times New Roman" w:eastAsia="仿宋_GB2312" w:hAnsi="Times New Roman" w:hint="eastAsia"/>
          <w:bCs/>
          <w:sz w:val="32"/>
          <w:szCs w:val="32"/>
        </w:rPr>
        <w:t>，突出</w:t>
      </w:r>
      <w:r>
        <w:rPr>
          <w:rFonts w:ascii="Times New Roman" w:eastAsia="仿宋_GB2312" w:hAnsi="Times New Roman"/>
          <w:bCs/>
          <w:sz w:val="32"/>
          <w:szCs w:val="32"/>
        </w:rPr>
        <w:t>政策显示度和吸引力。</w:t>
      </w:r>
      <w:r>
        <w:rPr>
          <w:rFonts w:ascii="Times New Roman" w:eastAsia="仿宋_GB2312" w:hAnsi="Times New Roman"/>
          <w:sz w:val="32"/>
          <w:szCs w:val="32"/>
        </w:rPr>
        <w:t>整合中关村示范区</w:t>
      </w:r>
      <w:r>
        <w:rPr>
          <w:rFonts w:ascii="Times New Roman" w:eastAsia="仿宋_GB2312" w:hAnsi="Times New Roman"/>
          <w:sz w:val="32"/>
          <w:szCs w:val="32"/>
        </w:rPr>
        <w:t>“1+5”</w:t>
      </w:r>
      <w:r>
        <w:rPr>
          <w:rFonts w:ascii="Times New Roman" w:eastAsia="仿宋_GB2312" w:hAnsi="Times New Roman"/>
          <w:sz w:val="32"/>
          <w:szCs w:val="32"/>
        </w:rPr>
        <w:t>政策和区级产业支持政策，针对创新监管、场景应用、金融服务、人才培育、国际合作等企业核心发展诉求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明确重点支持方向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拓展政策支持内容，</w:t>
      </w:r>
      <w:r>
        <w:rPr>
          <w:rFonts w:ascii="Times New Roman" w:eastAsia="仿宋_GB2312" w:hAnsi="Times New Roman" w:hint="eastAsia"/>
          <w:sz w:val="32"/>
          <w:szCs w:val="32"/>
        </w:rPr>
        <w:t>加大</w:t>
      </w:r>
      <w:r>
        <w:rPr>
          <w:rFonts w:ascii="Times New Roman" w:eastAsia="仿宋_GB2312" w:hAnsi="Times New Roman"/>
          <w:sz w:val="32"/>
          <w:szCs w:val="32"/>
          <w:lang w:val="zh-CN"/>
        </w:rPr>
        <w:t>对金融科技</w:t>
      </w:r>
      <w:r>
        <w:rPr>
          <w:rFonts w:ascii="Times New Roman" w:eastAsia="仿宋_GB2312" w:hAnsi="Times New Roman"/>
          <w:sz w:val="32"/>
          <w:szCs w:val="32"/>
        </w:rPr>
        <w:t>企业成长全过程、产业发展全链条、服务支撑全要素的</w:t>
      </w:r>
      <w:r>
        <w:rPr>
          <w:rFonts w:ascii="Times New Roman" w:eastAsia="仿宋_GB2312" w:hAnsi="Times New Roman"/>
          <w:sz w:val="32"/>
          <w:szCs w:val="32"/>
          <w:lang w:val="zh-CN"/>
        </w:rPr>
        <w:t>支持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力度</w:t>
      </w:r>
      <w:r>
        <w:rPr>
          <w:rFonts w:ascii="Times New Roman" w:eastAsia="仿宋_GB2312" w:hAnsi="Times New Roman"/>
          <w:sz w:val="32"/>
          <w:szCs w:val="32"/>
          <w:lang w:val="zh-CN"/>
        </w:rPr>
        <w:t>，</w:t>
      </w:r>
      <w:r>
        <w:rPr>
          <w:rFonts w:ascii="Times New Roman" w:eastAsia="仿宋_GB2312" w:hAnsi="Times New Roman"/>
          <w:sz w:val="32"/>
          <w:szCs w:val="32"/>
        </w:rPr>
        <w:t>强化对金融科技企业和专业服</w:t>
      </w:r>
      <w:r>
        <w:rPr>
          <w:rFonts w:ascii="Times New Roman" w:eastAsia="仿宋_GB2312" w:hAnsi="Times New Roman"/>
          <w:sz w:val="32"/>
          <w:szCs w:val="32"/>
        </w:rPr>
        <w:lastRenderedPageBreak/>
        <w:t>务机构的集聚引导效应</w:t>
      </w:r>
      <w:r>
        <w:rPr>
          <w:rFonts w:ascii="Times New Roman" w:eastAsia="仿宋_GB2312" w:hAnsi="Times New Roman"/>
          <w:sz w:val="32"/>
          <w:szCs w:val="32"/>
          <w:lang w:val="zh-CN"/>
        </w:rPr>
        <w:t>。</w:t>
      </w:r>
    </w:p>
    <w:p w:rsidR="006D2456" w:rsidRDefault="006D2456" w:rsidP="006D2456">
      <w:pPr>
        <w:pStyle w:val="a5"/>
        <w:spacing w:line="560" w:lineRule="exact"/>
        <w:ind w:firstLineChars="200" w:firstLine="643"/>
        <w:jc w:val="both"/>
        <w:rPr>
          <w:rFonts w:ascii="楷体" w:eastAsia="楷体" w:hAnsi="楷体" w:cs="楷体"/>
          <w:b/>
          <w:bCs/>
          <w:kern w:val="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2"/>
          <w:sz w:val="32"/>
          <w:szCs w:val="32"/>
        </w:rPr>
        <w:t>（二）主要内容</w:t>
      </w:r>
    </w:p>
    <w:p w:rsidR="006D2456" w:rsidRDefault="006D2456" w:rsidP="006D24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新版</w:t>
      </w:r>
      <w:r>
        <w:rPr>
          <w:rFonts w:ascii="Times New Roman" w:eastAsia="仿宋_GB2312" w:hAnsi="Times New Roman" w:hint="eastAsia"/>
          <w:sz w:val="32"/>
          <w:szCs w:val="32"/>
        </w:rPr>
        <w:t>政策共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款，涵盖对金融科技机构入驻发展、金融科技前沿技术创新和应用场景示范、金融监管工具及成果转化、金融科技产业链相关企业挂牌上市、金融科技特色孵化载体建设、金融科技人才发展、高层级国际开放合作、打造金融科技创新发展生态体系的支持内容。</w:t>
      </w:r>
    </w:p>
    <w:p w:rsidR="002119B9" w:rsidRDefault="002119B9" w:rsidP="002119B9">
      <w:pPr>
        <w:pStyle w:val="a0"/>
      </w:pPr>
    </w:p>
    <w:p w:rsidR="002119B9" w:rsidRDefault="002119B9" w:rsidP="002119B9"/>
    <w:p w:rsidR="002119B9" w:rsidRDefault="002119B9" w:rsidP="002119B9">
      <w:pPr>
        <w:pStyle w:val="a0"/>
      </w:pPr>
    </w:p>
    <w:p w:rsidR="002119B9" w:rsidRDefault="002119B9" w:rsidP="002119B9"/>
    <w:p w:rsidR="002119B9" w:rsidRDefault="002119B9" w:rsidP="002119B9">
      <w:pPr>
        <w:pStyle w:val="a0"/>
      </w:pPr>
    </w:p>
    <w:p w:rsidR="002119B9" w:rsidRDefault="002119B9" w:rsidP="002119B9"/>
    <w:p w:rsidR="002119B9" w:rsidRDefault="002119B9" w:rsidP="002119B9">
      <w:pPr>
        <w:pStyle w:val="a0"/>
        <w:rPr>
          <w:rFonts w:hint="eastAsia"/>
        </w:rPr>
      </w:pPr>
    </w:p>
    <w:p w:rsidR="00681968" w:rsidRDefault="00681968" w:rsidP="00681968">
      <w:pPr>
        <w:rPr>
          <w:rFonts w:hint="eastAsia"/>
        </w:rPr>
      </w:pPr>
    </w:p>
    <w:p w:rsidR="00681968" w:rsidRPr="00681968" w:rsidRDefault="00681968" w:rsidP="00681968">
      <w:pPr>
        <w:pStyle w:val="a0"/>
      </w:pPr>
      <w:bookmarkStart w:id="1" w:name="_GoBack"/>
      <w:bookmarkEnd w:id="1"/>
    </w:p>
    <w:p w:rsidR="002119B9" w:rsidRDefault="002119B9" w:rsidP="002119B9"/>
    <w:p w:rsidR="002119B9" w:rsidRPr="002119B9" w:rsidRDefault="002119B9" w:rsidP="002119B9">
      <w:pPr>
        <w:pStyle w:val="a0"/>
      </w:pPr>
    </w:p>
    <w:p w:rsidR="006D2456" w:rsidRDefault="002119B9" w:rsidP="006D245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附表：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</w:p>
    <w:p w:rsidR="002119B9" w:rsidRPr="009559AD" w:rsidRDefault="002119B9" w:rsidP="002119B9">
      <w:pPr>
        <w:jc w:val="center"/>
        <w:rPr>
          <w:rFonts w:ascii="黑体" w:eastAsia="黑体" w:hAnsi="黑体" w:cs="黑体"/>
          <w:sz w:val="48"/>
          <w:szCs w:val="48"/>
        </w:rPr>
      </w:pPr>
      <w:r w:rsidRPr="009559AD">
        <w:rPr>
          <w:rFonts w:ascii="黑体" w:eastAsia="黑体" w:hAnsi="黑体" w:cs="黑体" w:hint="eastAsia"/>
          <w:sz w:val="48"/>
          <w:szCs w:val="48"/>
        </w:rPr>
        <w:t>新老政策对比表</w:t>
      </w:r>
    </w:p>
    <w:p w:rsidR="006D2456" w:rsidRPr="009559AD" w:rsidRDefault="006D2456" w:rsidP="006D2456">
      <w:pPr>
        <w:jc w:val="center"/>
        <w:rPr>
          <w:rFonts w:ascii="黑体" w:eastAsia="黑体" w:hAnsi="黑体" w:cs="黑体"/>
          <w:sz w:val="48"/>
          <w:szCs w:val="48"/>
        </w:rPr>
      </w:pPr>
    </w:p>
    <w:tbl>
      <w:tblPr>
        <w:tblStyle w:val="aa"/>
        <w:tblpPr w:leftFromText="180" w:rightFromText="180" w:vertAnchor="page" w:horzAnchor="page" w:tblpXSpec="center" w:tblpY="3734"/>
        <w:tblOverlap w:val="never"/>
        <w:tblW w:w="13993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2607"/>
        <w:gridCol w:w="2724"/>
        <w:gridCol w:w="2547"/>
        <w:gridCol w:w="5299"/>
      </w:tblGrid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tabs>
                <w:tab w:val="left" w:pos="642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19B9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07" w:type="dxa"/>
          </w:tcPr>
          <w:p w:rsidR="006D2456" w:rsidRPr="002119B9" w:rsidRDefault="006D2456" w:rsidP="00F425D5">
            <w:pPr>
              <w:jc w:val="center"/>
              <w:rPr>
                <w:b/>
                <w:bCs/>
                <w:sz w:val="28"/>
                <w:szCs w:val="28"/>
              </w:rPr>
            </w:pPr>
            <w:r w:rsidRPr="002119B9">
              <w:rPr>
                <w:rFonts w:hint="eastAsia"/>
                <w:b/>
                <w:bCs/>
                <w:sz w:val="28"/>
                <w:szCs w:val="28"/>
              </w:rPr>
              <w:t>新政策条款</w:t>
            </w:r>
          </w:p>
        </w:tc>
        <w:tc>
          <w:tcPr>
            <w:tcW w:w="2724" w:type="dxa"/>
          </w:tcPr>
          <w:p w:rsidR="006D2456" w:rsidRPr="002119B9" w:rsidRDefault="006D2456" w:rsidP="00F425D5">
            <w:pPr>
              <w:jc w:val="center"/>
              <w:rPr>
                <w:b/>
                <w:bCs/>
                <w:sz w:val="28"/>
                <w:szCs w:val="28"/>
              </w:rPr>
            </w:pPr>
            <w:r w:rsidRPr="002119B9">
              <w:rPr>
                <w:rFonts w:hint="eastAsia"/>
                <w:b/>
                <w:bCs/>
                <w:sz w:val="28"/>
                <w:szCs w:val="28"/>
              </w:rPr>
              <w:t>老政策条款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jc w:val="center"/>
              <w:rPr>
                <w:b/>
                <w:bCs/>
                <w:sz w:val="28"/>
                <w:szCs w:val="28"/>
              </w:rPr>
            </w:pPr>
            <w:r w:rsidRPr="002119B9">
              <w:rPr>
                <w:rFonts w:hint="eastAsia"/>
                <w:b/>
                <w:bCs/>
                <w:sz w:val="28"/>
                <w:szCs w:val="28"/>
              </w:rPr>
              <w:t>变化方式</w:t>
            </w:r>
          </w:p>
        </w:tc>
        <w:tc>
          <w:tcPr>
            <w:tcW w:w="5299" w:type="dxa"/>
          </w:tcPr>
          <w:p w:rsidR="006D2456" w:rsidRPr="002119B9" w:rsidRDefault="006D2456" w:rsidP="00F425D5">
            <w:pPr>
              <w:jc w:val="center"/>
              <w:rPr>
                <w:b/>
                <w:bCs/>
                <w:sz w:val="28"/>
                <w:szCs w:val="28"/>
              </w:rPr>
            </w:pPr>
            <w:r w:rsidRPr="002119B9">
              <w:rPr>
                <w:rFonts w:hint="eastAsia"/>
                <w:b/>
                <w:bCs/>
                <w:sz w:val="28"/>
                <w:szCs w:val="28"/>
              </w:rPr>
              <w:t>调整原因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二（一）开办费用补贴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二（一）实收资本补助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  <w:r w:rsidRPr="002119B9">
              <w:rPr>
                <w:rFonts w:hint="eastAsia"/>
              </w:rPr>
              <w:t>，额度不变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名称采用新表述</w:t>
            </w:r>
          </w:p>
        </w:tc>
      </w:tr>
      <w:tr w:rsidR="006D2456" w:rsidTr="00F425D5">
        <w:trPr>
          <w:trHeight w:val="688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二（二）购租房补贴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二（二）购租房补贴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  <w:r w:rsidRPr="002119B9">
              <w:rPr>
                <w:rFonts w:hint="eastAsia"/>
              </w:rPr>
              <w:t>，额度不变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拟在实施细则中规定对于企业进行中期考评，重点考察企业财政贡献，贡献未达到预期的不予拨付第三年度支持资金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3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二（三）增资和新设立子公司补助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二（一）实收资本补助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  <w:r w:rsidRPr="002119B9">
              <w:rPr>
                <w:rFonts w:hint="eastAsia"/>
              </w:rPr>
              <w:t>，额度不变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名称采用新表述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4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二（四）发展贡献奖励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二（四）“突出贡献企业”奖励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proofErr w:type="gramStart"/>
            <w:r w:rsidRPr="002119B9">
              <w:rPr>
                <w:rFonts w:hint="eastAsia"/>
              </w:rPr>
              <w:t>采用区发改</w:t>
            </w:r>
            <w:proofErr w:type="gramEnd"/>
            <w:r w:rsidRPr="002119B9">
              <w:rPr>
                <w:rFonts w:hint="eastAsia"/>
              </w:rPr>
              <w:t>委新表述</w:t>
            </w:r>
          </w:p>
        </w:tc>
      </w:tr>
      <w:tr w:rsidR="006D2456" w:rsidTr="00F425D5">
        <w:trPr>
          <w:trHeight w:val="940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5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三（一）金融科技底层关键技术创新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三（一）重大成果转化和产业化项目支持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支持方式变化</w:t>
            </w:r>
            <w:r w:rsidRPr="002119B9">
              <w:rPr>
                <w:rFonts w:hint="eastAsia"/>
              </w:rPr>
              <w:t>，调减支持金额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按照市科委、中关村管委会新政策调整支持标准</w:t>
            </w:r>
          </w:p>
        </w:tc>
      </w:tr>
      <w:tr w:rsidR="006D2456" w:rsidTr="00F425D5">
        <w:trPr>
          <w:trHeight w:val="1276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6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三（二）金融科技创新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三（二）科技研发项目配套</w:t>
            </w:r>
          </w:p>
          <w:p w:rsidR="006D2456" w:rsidRPr="002119B9" w:rsidRDefault="006D2456" w:rsidP="00F425D5">
            <w:r w:rsidRPr="002119B9">
              <w:rPr>
                <w:rFonts w:hint="eastAsia"/>
              </w:rPr>
              <w:t>（三）自建研发机构支持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支持方式变化</w:t>
            </w:r>
            <w:r w:rsidRPr="002119B9">
              <w:rPr>
                <w:rFonts w:hint="eastAsia"/>
              </w:rPr>
              <w:t>，调减支持金额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按照“科创十条”最新支持标准调整</w:t>
            </w:r>
          </w:p>
        </w:tc>
      </w:tr>
      <w:tr w:rsidR="006D2456" w:rsidTr="00F425D5">
        <w:trPr>
          <w:trHeight w:val="722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7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四（一）拓展金融科技应用场景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四（二）重大示范应用支持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按照市科委、中关村管委会政策执行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8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四（二）示范项目落地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六（四）示范应用奖励</w:t>
            </w:r>
          </w:p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lastRenderedPageBreak/>
              <w:t>支持方式变化</w:t>
            </w:r>
            <w:r w:rsidRPr="002119B9">
              <w:rPr>
                <w:rFonts w:hint="eastAsia"/>
              </w:rPr>
              <w:t>，给予配套资</w:t>
            </w:r>
            <w:r w:rsidRPr="002119B9">
              <w:rPr>
                <w:rFonts w:hint="eastAsia"/>
              </w:rPr>
              <w:lastRenderedPageBreak/>
              <w:t>金支持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lastRenderedPageBreak/>
              <w:t>给予落地西城的项目资金支持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lastRenderedPageBreak/>
              <w:t>9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五（一）</w:t>
            </w:r>
            <w:r w:rsidRPr="002119B9">
              <w:rPr>
                <w:rFonts w:hint="eastAsia"/>
              </w:rPr>
              <w:t xml:space="preserve"> </w:t>
            </w:r>
            <w:r w:rsidRPr="002119B9">
              <w:rPr>
                <w:rFonts w:hint="eastAsia"/>
              </w:rPr>
              <w:t>争取金融科技创新工具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服务人民银行、证监会开展“监管沙箱”试点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10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五（二）创新监管项目成果转化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出通告测试并落地西城的项目给予支持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11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六（一）支持企业在新三板挂牌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体现市区两级支持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12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六（二）支持企业在北京证券交易所上市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根据“服务北交所十条”执行</w:t>
            </w:r>
          </w:p>
        </w:tc>
      </w:tr>
      <w:tr w:rsidR="006D2456" w:rsidTr="00F425D5">
        <w:trPr>
          <w:trHeight w:val="686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13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六（三）加大企业上市资金支持力度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七、融资支持条款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集成条款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按照“科创十条”和</w:t>
            </w:r>
            <w:proofErr w:type="gramStart"/>
            <w:r w:rsidRPr="002119B9">
              <w:rPr>
                <w:rFonts w:hint="eastAsia"/>
              </w:rPr>
              <w:t>金服局上市</w:t>
            </w:r>
            <w:proofErr w:type="gramEnd"/>
            <w:r w:rsidRPr="002119B9">
              <w:rPr>
                <w:rFonts w:hint="eastAsia"/>
              </w:rPr>
              <w:t>支持政策执行</w:t>
            </w:r>
          </w:p>
        </w:tc>
      </w:tr>
      <w:tr w:rsidR="006D2456" w:rsidTr="00F425D5">
        <w:trPr>
          <w:trHeight w:val="746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14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七（一）建设产业承载空间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九（一）改造升级补贴</w:t>
            </w:r>
          </w:p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  <w:r w:rsidRPr="002119B9">
              <w:rPr>
                <w:rFonts w:hint="eastAsia"/>
              </w:rPr>
              <w:t>，额度不变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15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七（二）支持金融科技楼宇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九（二）产业提升奖励</w:t>
            </w:r>
          </w:p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集成条款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</w:t>
            </w:r>
            <w:proofErr w:type="gramStart"/>
            <w:r w:rsidRPr="002119B9">
              <w:rPr>
                <w:rFonts w:hint="eastAsia"/>
              </w:rPr>
              <w:t>区发改委</w:t>
            </w:r>
            <w:proofErr w:type="gramEnd"/>
            <w:r w:rsidRPr="002119B9">
              <w:rPr>
                <w:rFonts w:hint="eastAsia"/>
              </w:rPr>
              <w:t>低效楼宇政策执行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16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七（三）培育孵化加速平台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八（三）产业孵化和加速基地支持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按照“科创十条”政策执行</w:t>
            </w:r>
          </w:p>
        </w:tc>
      </w:tr>
      <w:tr w:rsidR="006D2456" w:rsidTr="00F425D5">
        <w:trPr>
          <w:trHeight w:val="446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17</w:t>
            </w:r>
          </w:p>
        </w:tc>
        <w:tc>
          <w:tcPr>
            <w:tcW w:w="2607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八（一）高层次人才支持</w:t>
            </w:r>
          </w:p>
        </w:tc>
        <w:tc>
          <w:tcPr>
            <w:tcW w:w="2724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</w:rPr>
              <w:t>五（四）高级管理人员及核心骨干奖励</w:t>
            </w:r>
          </w:p>
        </w:tc>
        <w:tc>
          <w:tcPr>
            <w:tcW w:w="2547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</w:p>
        </w:tc>
        <w:tc>
          <w:tcPr>
            <w:tcW w:w="5299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</w:rPr>
              <w:t>在实施细则中规定奖励额度及支持方式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18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八（二）专业人才培育服务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五（</w:t>
            </w:r>
            <w:proofErr w:type="gramStart"/>
            <w:r w:rsidRPr="002119B9">
              <w:rPr>
                <w:rFonts w:hint="eastAsia"/>
              </w:rPr>
              <w:t>一</w:t>
            </w:r>
            <w:proofErr w:type="gramEnd"/>
            <w:r w:rsidRPr="002119B9">
              <w:rPr>
                <w:rFonts w:hint="eastAsia"/>
              </w:rPr>
              <w:t>）（二）人才统筹服务</w:t>
            </w:r>
          </w:p>
          <w:p w:rsidR="006D2456" w:rsidRPr="002119B9" w:rsidRDefault="006D2456" w:rsidP="00F425D5">
            <w:r w:rsidRPr="002119B9">
              <w:rPr>
                <w:rFonts w:hint="eastAsia"/>
              </w:rPr>
              <w:t>五（三）人才称号奖励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保留条款</w:t>
            </w:r>
            <w:r w:rsidRPr="002119B9">
              <w:rPr>
                <w:rFonts w:hint="eastAsia"/>
              </w:rPr>
              <w:t>，额度不变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表述方式更新</w:t>
            </w:r>
          </w:p>
        </w:tc>
      </w:tr>
      <w:tr w:rsidR="006D2456" w:rsidTr="00F425D5">
        <w:trPr>
          <w:trHeight w:val="542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19</w:t>
            </w:r>
          </w:p>
        </w:tc>
        <w:tc>
          <w:tcPr>
            <w:tcW w:w="2607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八（三）金融科技人才培养</w:t>
            </w:r>
          </w:p>
        </w:tc>
        <w:tc>
          <w:tcPr>
            <w:tcW w:w="2724" w:type="dxa"/>
            <w:vAlign w:val="center"/>
          </w:tcPr>
          <w:p w:rsidR="006D2456" w:rsidRPr="002119B9" w:rsidRDefault="006D2456" w:rsidP="00F425D5"/>
        </w:tc>
        <w:tc>
          <w:tcPr>
            <w:tcW w:w="2547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  <w:vAlign w:val="center"/>
          </w:tcPr>
          <w:p w:rsidR="006D2456" w:rsidRPr="002119B9" w:rsidRDefault="006D2456" w:rsidP="00F425D5">
            <w:r w:rsidRPr="002119B9">
              <w:rPr>
                <w:rFonts w:hint="eastAsia"/>
              </w:rPr>
              <w:t>和市金融局联合推动落实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20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九（一）国际机构落地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旨在吸引国际机构入驻</w:t>
            </w:r>
          </w:p>
        </w:tc>
      </w:tr>
      <w:tr w:rsidR="006D2456" w:rsidTr="00F425D5">
        <w:trPr>
          <w:trHeight w:val="794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lastRenderedPageBreak/>
              <w:t>21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九（二）深化国际合作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六（一）国际合作交流</w:t>
            </w:r>
          </w:p>
          <w:p w:rsidR="006D2456" w:rsidRPr="002119B9" w:rsidRDefault="006D2456" w:rsidP="00F425D5">
            <w:r w:rsidRPr="002119B9">
              <w:rPr>
                <w:rFonts w:hint="eastAsia"/>
              </w:rPr>
              <w:t>（三）重大活动支持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支持方式变化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给与相关服务支持，不再投入财政资金</w:t>
            </w:r>
          </w:p>
        </w:tc>
      </w:tr>
      <w:tr w:rsidR="006D2456" w:rsidTr="00F425D5">
        <w:trPr>
          <w:trHeight w:val="794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22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十（一）引荐项目落地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招商引资条款</w:t>
            </w:r>
          </w:p>
        </w:tc>
      </w:tr>
      <w:tr w:rsidR="006D2456" w:rsidTr="00F425D5">
        <w:trPr>
          <w:trHeight w:val="794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23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十（二）高价值专利布局</w:t>
            </w:r>
          </w:p>
        </w:tc>
        <w:tc>
          <w:tcPr>
            <w:tcW w:w="2724" w:type="dxa"/>
          </w:tcPr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新增条款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按照市科委、中关村管委会政策执行</w:t>
            </w:r>
          </w:p>
        </w:tc>
      </w:tr>
      <w:tr w:rsidR="006D2456" w:rsidTr="00F425D5">
        <w:trPr>
          <w:trHeight w:val="794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24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十（三）金融科技标准创制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三（四）标准制定补助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支持方式变化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按照“科创十条”政策执行，增加中关村标准补贴</w:t>
            </w:r>
          </w:p>
        </w:tc>
      </w:tr>
      <w:tr w:rsidR="006D2456" w:rsidTr="00F425D5">
        <w:trPr>
          <w:trHeight w:val="794"/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25</w:t>
            </w:r>
          </w:p>
        </w:tc>
        <w:tc>
          <w:tcPr>
            <w:tcW w:w="2607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十（四）高效服务机制</w:t>
            </w:r>
          </w:p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十、开通服务绿色通道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支持方式变化</w:t>
            </w:r>
          </w:p>
        </w:tc>
        <w:tc>
          <w:tcPr>
            <w:tcW w:w="5299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按照“双管家”服务要求为企业提供精准暖心服务</w:t>
            </w:r>
          </w:p>
        </w:tc>
      </w:tr>
      <w:tr w:rsidR="006D2456" w:rsidTr="00F425D5">
        <w:trPr>
          <w:trHeight w:val="386"/>
          <w:jc w:val="center"/>
        </w:trPr>
        <w:tc>
          <w:tcPr>
            <w:tcW w:w="13993" w:type="dxa"/>
            <w:gridSpan w:val="5"/>
            <w:vAlign w:val="center"/>
          </w:tcPr>
          <w:p w:rsidR="006D2456" w:rsidRPr="002119B9" w:rsidRDefault="006D2456" w:rsidP="00F425D5">
            <w:pPr>
              <w:tabs>
                <w:tab w:val="left" w:pos="1003"/>
              </w:tabs>
              <w:jc w:val="left"/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  <w:sz w:val="24"/>
              </w:rPr>
              <w:t>删除条款</w:t>
            </w:r>
          </w:p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1</w:t>
            </w:r>
          </w:p>
        </w:tc>
        <w:tc>
          <w:tcPr>
            <w:tcW w:w="2607" w:type="dxa"/>
          </w:tcPr>
          <w:p w:rsidR="006D2456" w:rsidRPr="002119B9" w:rsidRDefault="006D2456" w:rsidP="00F425D5"/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二（三）金融牌照补助</w:t>
            </w:r>
          </w:p>
        </w:tc>
        <w:tc>
          <w:tcPr>
            <w:tcW w:w="2547" w:type="dxa"/>
          </w:tcPr>
          <w:p w:rsidR="006D2456" w:rsidRPr="002119B9" w:rsidRDefault="006D2456" w:rsidP="00F425D5">
            <w:r w:rsidRPr="002119B9">
              <w:rPr>
                <w:rFonts w:hint="eastAsia"/>
                <w:b/>
                <w:bCs/>
              </w:rPr>
              <w:t>删除条款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2</w:t>
            </w:r>
          </w:p>
        </w:tc>
        <w:tc>
          <w:tcPr>
            <w:tcW w:w="2607" w:type="dxa"/>
          </w:tcPr>
          <w:p w:rsidR="006D2456" w:rsidRPr="002119B9" w:rsidRDefault="006D2456" w:rsidP="00F425D5"/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四（一）先行先</w:t>
            </w:r>
            <w:proofErr w:type="gramStart"/>
            <w:r w:rsidRPr="002119B9">
              <w:rPr>
                <w:rFonts w:hint="eastAsia"/>
              </w:rPr>
              <w:t>试政策</w:t>
            </w:r>
            <w:proofErr w:type="gramEnd"/>
            <w:r w:rsidRPr="002119B9">
              <w:rPr>
                <w:rFonts w:hint="eastAsia"/>
              </w:rPr>
              <w:t>试点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删除条款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3</w:t>
            </w:r>
          </w:p>
        </w:tc>
        <w:tc>
          <w:tcPr>
            <w:tcW w:w="2607" w:type="dxa"/>
          </w:tcPr>
          <w:p w:rsidR="006D2456" w:rsidRPr="002119B9" w:rsidRDefault="006D2456" w:rsidP="00F425D5"/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六（二）国际交流合作项目支持</w:t>
            </w:r>
          </w:p>
          <w:p w:rsidR="006D2456" w:rsidRPr="002119B9" w:rsidRDefault="006D2456" w:rsidP="00F425D5"/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删除条款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4</w:t>
            </w:r>
          </w:p>
        </w:tc>
        <w:tc>
          <w:tcPr>
            <w:tcW w:w="2607" w:type="dxa"/>
          </w:tcPr>
          <w:p w:rsidR="006D2456" w:rsidRPr="002119B9" w:rsidRDefault="006D2456" w:rsidP="00F425D5"/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八（一）</w:t>
            </w:r>
            <w:proofErr w:type="gramStart"/>
            <w:r w:rsidRPr="002119B9">
              <w:rPr>
                <w:rFonts w:hint="eastAsia"/>
              </w:rPr>
              <w:t>硬科技</w:t>
            </w:r>
            <w:proofErr w:type="gramEnd"/>
            <w:r w:rsidRPr="002119B9">
              <w:rPr>
                <w:rFonts w:hint="eastAsia"/>
              </w:rPr>
              <w:t>孵化平台支持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删除条款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5</w:t>
            </w:r>
          </w:p>
        </w:tc>
        <w:tc>
          <w:tcPr>
            <w:tcW w:w="2607" w:type="dxa"/>
          </w:tcPr>
          <w:p w:rsidR="006D2456" w:rsidRPr="002119B9" w:rsidRDefault="006D2456" w:rsidP="00F425D5"/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八（二）基础设施平台支持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删除条款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  <w:tr w:rsidR="006D2456" w:rsidTr="00F425D5">
        <w:trPr>
          <w:jc w:val="center"/>
        </w:trPr>
        <w:tc>
          <w:tcPr>
            <w:tcW w:w="816" w:type="dxa"/>
            <w:vAlign w:val="center"/>
          </w:tcPr>
          <w:p w:rsidR="006D2456" w:rsidRPr="002119B9" w:rsidRDefault="006D2456" w:rsidP="00F425D5">
            <w:pPr>
              <w:jc w:val="center"/>
            </w:pPr>
            <w:r w:rsidRPr="002119B9">
              <w:rPr>
                <w:rFonts w:hint="eastAsia"/>
              </w:rPr>
              <w:t>6</w:t>
            </w:r>
          </w:p>
        </w:tc>
        <w:tc>
          <w:tcPr>
            <w:tcW w:w="2607" w:type="dxa"/>
          </w:tcPr>
          <w:p w:rsidR="006D2456" w:rsidRPr="002119B9" w:rsidRDefault="006D2456" w:rsidP="00F425D5"/>
        </w:tc>
        <w:tc>
          <w:tcPr>
            <w:tcW w:w="2724" w:type="dxa"/>
          </w:tcPr>
          <w:p w:rsidR="006D2456" w:rsidRPr="002119B9" w:rsidRDefault="006D2456" w:rsidP="00F425D5">
            <w:r w:rsidRPr="002119B9">
              <w:rPr>
                <w:rFonts w:hint="eastAsia"/>
              </w:rPr>
              <w:t>八（四）专业服务应用示范项目支持</w:t>
            </w:r>
          </w:p>
        </w:tc>
        <w:tc>
          <w:tcPr>
            <w:tcW w:w="2547" w:type="dxa"/>
          </w:tcPr>
          <w:p w:rsidR="006D2456" w:rsidRPr="002119B9" w:rsidRDefault="006D2456" w:rsidP="00F425D5">
            <w:pPr>
              <w:rPr>
                <w:b/>
                <w:bCs/>
              </w:rPr>
            </w:pPr>
            <w:r w:rsidRPr="002119B9">
              <w:rPr>
                <w:rFonts w:hint="eastAsia"/>
                <w:b/>
                <w:bCs/>
              </w:rPr>
              <w:t>删除条款</w:t>
            </w:r>
          </w:p>
        </w:tc>
        <w:tc>
          <w:tcPr>
            <w:tcW w:w="5299" w:type="dxa"/>
          </w:tcPr>
          <w:p w:rsidR="006D2456" w:rsidRPr="002119B9" w:rsidRDefault="006D2456" w:rsidP="00F425D5"/>
        </w:tc>
      </w:tr>
    </w:tbl>
    <w:p w:rsidR="00166BC1" w:rsidRPr="003B50EE" w:rsidRDefault="00166BC1" w:rsidP="00CB7F7B">
      <w:pPr>
        <w:jc w:val="center"/>
        <w:rPr>
          <w:rFonts w:ascii="Times New Roman" w:eastAsia="仿宋_GB2312" w:hAnsi="Times New Roman"/>
          <w:sz w:val="32"/>
          <w:szCs w:val="32"/>
        </w:rPr>
      </w:pPr>
    </w:p>
    <w:sectPr w:rsidR="00166BC1" w:rsidRPr="003B50EE" w:rsidSect="00211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27" w:rsidRDefault="00162527" w:rsidP="00046676">
      <w:r>
        <w:separator/>
      </w:r>
    </w:p>
  </w:endnote>
  <w:endnote w:type="continuationSeparator" w:id="0">
    <w:p w:rsidR="00162527" w:rsidRDefault="00162527" w:rsidP="0004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27" w:rsidRDefault="00162527" w:rsidP="00046676">
      <w:r>
        <w:separator/>
      </w:r>
    </w:p>
  </w:footnote>
  <w:footnote w:type="continuationSeparator" w:id="0">
    <w:p w:rsidR="00162527" w:rsidRDefault="00162527" w:rsidP="0004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B0"/>
    <w:rsid w:val="00046676"/>
    <w:rsid w:val="00113364"/>
    <w:rsid w:val="001365C7"/>
    <w:rsid w:val="00162527"/>
    <w:rsid w:val="001629ED"/>
    <w:rsid w:val="00166BC1"/>
    <w:rsid w:val="001957DB"/>
    <w:rsid w:val="002119B9"/>
    <w:rsid w:val="003B50EE"/>
    <w:rsid w:val="00497CAA"/>
    <w:rsid w:val="004B18B2"/>
    <w:rsid w:val="00517EB6"/>
    <w:rsid w:val="005D41F8"/>
    <w:rsid w:val="00681968"/>
    <w:rsid w:val="006D2456"/>
    <w:rsid w:val="00827AAD"/>
    <w:rsid w:val="00970277"/>
    <w:rsid w:val="00AF43AC"/>
    <w:rsid w:val="00CB7F7B"/>
    <w:rsid w:val="00D628B0"/>
    <w:rsid w:val="00D76F05"/>
    <w:rsid w:val="00DC745B"/>
    <w:rsid w:val="00E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33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13364"/>
    <w:pPr>
      <w:spacing w:line="578" w:lineRule="exact"/>
      <w:jc w:val="center"/>
      <w:outlineLvl w:val="1"/>
    </w:pPr>
    <w:rPr>
      <w:rFonts w:ascii="Cambria" w:eastAsia="楷体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113364"/>
    <w:rPr>
      <w:rFonts w:ascii="Cambria" w:eastAsia="楷体" w:hAnsi="Cambria" w:cs="Times New Roman"/>
      <w:b/>
      <w:bCs/>
      <w:sz w:val="32"/>
      <w:szCs w:val="32"/>
    </w:rPr>
  </w:style>
  <w:style w:type="paragraph" w:styleId="a4">
    <w:name w:val="Normal Indent"/>
    <w:basedOn w:val="a"/>
    <w:uiPriority w:val="99"/>
    <w:unhideWhenUsed/>
    <w:qFormat/>
    <w:rsid w:val="00113364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a5">
    <w:name w:val="Body Text"/>
    <w:basedOn w:val="a"/>
    <w:next w:val="a6"/>
    <w:link w:val="Char0"/>
    <w:qFormat/>
    <w:rsid w:val="00113364"/>
    <w:pPr>
      <w:adjustRightInd w:val="0"/>
      <w:jc w:val="left"/>
      <w:textAlignment w:val="baseline"/>
    </w:pPr>
    <w:rPr>
      <w:kern w:val="0"/>
      <w:szCs w:val="20"/>
    </w:rPr>
  </w:style>
  <w:style w:type="character" w:customStyle="1" w:styleId="Char0">
    <w:name w:val="正文文本 Char"/>
    <w:basedOn w:val="a1"/>
    <w:link w:val="a5"/>
    <w:rsid w:val="00113364"/>
    <w:rPr>
      <w:rFonts w:ascii="Calibri" w:eastAsia="宋体" w:hAnsi="Calibri" w:cs="Times New Roman"/>
      <w:kern w:val="0"/>
      <w:szCs w:val="20"/>
    </w:rPr>
  </w:style>
  <w:style w:type="paragraph" w:styleId="a6">
    <w:name w:val="Body Text First Indent"/>
    <w:basedOn w:val="a"/>
    <w:link w:val="Char1"/>
    <w:qFormat/>
    <w:rsid w:val="00113364"/>
    <w:pPr>
      <w:autoSpaceDE w:val="0"/>
      <w:autoSpaceDN w:val="0"/>
      <w:adjustRightInd w:val="0"/>
      <w:ind w:firstLineChars="100" w:firstLine="420"/>
      <w:jc w:val="left"/>
    </w:pPr>
    <w:rPr>
      <w:rFonts w:ascii="仿宋_GB2312"/>
      <w:b/>
      <w:kern w:val="0"/>
      <w:szCs w:val="32"/>
    </w:rPr>
  </w:style>
  <w:style w:type="character" w:customStyle="1" w:styleId="Char1">
    <w:name w:val="正文首行缩进 Char"/>
    <w:basedOn w:val="Char0"/>
    <w:link w:val="a6"/>
    <w:rsid w:val="00113364"/>
    <w:rPr>
      <w:rFonts w:ascii="仿宋_GB2312" w:eastAsia="宋体" w:hAnsi="Calibri" w:cs="Times New Roman"/>
      <w:b/>
      <w:kern w:val="0"/>
      <w:szCs w:val="32"/>
    </w:rPr>
  </w:style>
  <w:style w:type="paragraph" w:styleId="a7">
    <w:name w:val="header"/>
    <w:basedOn w:val="a"/>
    <w:link w:val="Char2"/>
    <w:uiPriority w:val="99"/>
    <w:unhideWhenUsed/>
    <w:rsid w:val="0004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rsid w:val="0004667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46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rsid w:val="00046676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DC745B"/>
    <w:rPr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rsid w:val="00DC745B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2"/>
    <w:qFormat/>
    <w:rsid w:val="006D245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33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13364"/>
    <w:pPr>
      <w:spacing w:line="578" w:lineRule="exact"/>
      <w:jc w:val="center"/>
      <w:outlineLvl w:val="1"/>
    </w:pPr>
    <w:rPr>
      <w:rFonts w:ascii="Cambria" w:eastAsia="楷体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113364"/>
    <w:rPr>
      <w:rFonts w:ascii="Cambria" w:eastAsia="楷体" w:hAnsi="Cambria" w:cs="Times New Roman"/>
      <w:b/>
      <w:bCs/>
      <w:sz w:val="32"/>
      <w:szCs w:val="32"/>
    </w:rPr>
  </w:style>
  <w:style w:type="paragraph" w:styleId="a4">
    <w:name w:val="Normal Indent"/>
    <w:basedOn w:val="a"/>
    <w:uiPriority w:val="99"/>
    <w:unhideWhenUsed/>
    <w:qFormat/>
    <w:rsid w:val="00113364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a5">
    <w:name w:val="Body Text"/>
    <w:basedOn w:val="a"/>
    <w:next w:val="a6"/>
    <w:link w:val="Char0"/>
    <w:qFormat/>
    <w:rsid w:val="00113364"/>
    <w:pPr>
      <w:adjustRightInd w:val="0"/>
      <w:jc w:val="left"/>
      <w:textAlignment w:val="baseline"/>
    </w:pPr>
    <w:rPr>
      <w:kern w:val="0"/>
      <w:szCs w:val="20"/>
    </w:rPr>
  </w:style>
  <w:style w:type="character" w:customStyle="1" w:styleId="Char0">
    <w:name w:val="正文文本 Char"/>
    <w:basedOn w:val="a1"/>
    <w:link w:val="a5"/>
    <w:rsid w:val="00113364"/>
    <w:rPr>
      <w:rFonts w:ascii="Calibri" w:eastAsia="宋体" w:hAnsi="Calibri" w:cs="Times New Roman"/>
      <w:kern w:val="0"/>
      <w:szCs w:val="20"/>
    </w:rPr>
  </w:style>
  <w:style w:type="paragraph" w:styleId="a6">
    <w:name w:val="Body Text First Indent"/>
    <w:basedOn w:val="a"/>
    <w:link w:val="Char1"/>
    <w:qFormat/>
    <w:rsid w:val="00113364"/>
    <w:pPr>
      <w:autoSpaceDE w:val="0"/>
      <w:autoSpaceDN w:val="0"/>
      <w:adjustRightInd w:val="0"/>
      <w:ind w:firstLineChars="100" w:firstLine="420"/>
      <w:jc w:val="left"/>
    </w:pPr>
    <w:rPr>
      <w:rFonts w:ascii="仿宋_GB2312"/>
      <w:b/>
      <w:kern w:val="0"/>
      <w:szCs w:val="32"/>
    </w:rPr>
  </w:style>
  <w:style w:type="character" w:customStyle="1" w:styleId="Char1">
    <w:name w:val="正文首行缩进 Char"/>
    <w:basedOn w:val="Char0"/>
    <w:link w:val="a6"/>
    <w:rsid w:val="00113364"/>
    <w:rPr>
      <w:rFonts w:ascii="仿宋_GB2312" w:eastAsia="宋体" w:hAnsi="Calibri" w:cs="Times New Roman"/>
      <w:b/>
      <w:kern w:val="0"/>
      <w:szCs w:val="32"/>
    </w:rPr>
  </w:style>
  <w:style w:type="paragraph" w:styleId="a7">
    <w:name w:val="header"/>
    <w:basedOn w:val="a"/>
    <w:link w:val="Char2"/>
    <w:uiPriority w:val="99"/>
    <w:unhideWhenUsed/>
    <w:rsid w:val="0004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rsid w:val="0004667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46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rsid w:val="00046676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DC745B"/>
    <w:rPr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rsid w:val="00DC745B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2"/>
    <w:qFormat/>
    <w:rsid w:val="006D245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2023-02-20T02:10:00Z</cp:lastPrinted>
  <dcterms:created xsi:type="dcterms:W3CDTF">2023-02-15T09:16:00Z</dcterms:created>
  <dcterms:modified xsi:type="dcterms:W3CDTF">2023-02-21T09:54:00Z</dcterms:modified>
</cp:coreProperties>
</file>