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北京市西城区人民政府牛街街道办事处</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根据《中华人民共和国政府信</w:t>
      </w:r>
      <w:bookmarkStart w:id="0" w:name="_GoBack"/>
      <w:bookmarkEnd w:id="0"/>
      <w:r>
        <w:rPr>
          <w:rFonts w:hint="eastAsia" w:ascii="仿宋" w:hAnsi="仿宋" w:eastAsia="仿宋" w:cs="仿宋"/>
          <w:sz w:val="32"/>
          <w:szCs w:val="40"/>
          <w:lang w:val="en-US" w:eastAsia="zh-CN"/>
        </w:rPr>
        <w:t>息公开条例》（以下简称）《政府信息公开条例》）第五十条规定，编制本报告。</w:t>
      </w:r>
    </w:p>
    <w:p>
      <w:pPr>
        <w:pStyle w:val="2"/>
        <w:numPr>
          <w:ilvl w:val="0"/>
          <w:numId w:val="1"/>
        </w:numPr>
        <w:ind w:firstLine="640" w:firstLineChars="200"/>
        <w:rPr>
          <w:rFonts w:hint="default"/>
          <w:lang w:val="en-US" w:eastAsia="zh-CN"/>
        </w:rPr>
      </w:pPr>
      <w:r>
        <w:rPr>
          <w:rFonts w:hint="eastAsia" w:ascii="黑体" w:hAnsi="黑体" w:eastAsia="黑体" w:cs="黑体"/>
          <w:sz w:val="32"/>
          <w:szCs w:val="32"/>
          <w:lang w:val="en-US" w:eastAsia="zh-CN"/>
        </w:rPr>
        <w:t>总体情况</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1.主动公开情况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梳理更新</w:t>
      </w:r>
      <w:r>
        <w:rPr>
          <w:rFonts w:hint="eastAsia" w:ascii="仿宋_GB2312" w:hAnsi="仿宋_GB2312" w:eastAsia="仿宋_GB2312" w:cs="仿宋_GB2312"/>
          <w:sz w:val="32"/>
          <w:szCs w:val="32"/>
        </w:rPr>
        <w:t>《牛街街道政府信息主动公开全清单》</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落实《西城区2022年政务公开工作要点》有关要求，梳理更新《牛街街道政府信息主动公开全清单》；配合西城区政府网站升级改造，完成街道机构职能、领导介绍等已公开信息更新21项；编制并公开《街道2021年政府信息公开工作年度报告》和2022年牛街街道办事处政府信息公开指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（2）政府开放日</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为贯彻落实街道政务开放日活动常态化工作要求，进一步提升社区居民日常应急避险能力和意识，牛街街道邀请辖区居民</w:t>
      </w:r>
      <w:r>
        <w:rPr>
          <w:rFonts w:hint="eastAsia" w:ascii="仿宋_GB2312" w:hAnsi="仿宋_GB2312" w:eastAsia="仿宋_GB2312" w:cs="仿宋_GB2312"/>
          <w:sz w:val="32"/>
          <w:szCs w:val="32"/>
          <w:lang w:val="en-US" w:eastAsia="zh-CN"/>
        </w:rPr>
        <w:t>参观</w:t>
      </w:r>
      <w:r>
        <w:rPr>
          <w:rFonts w:hint="eastAsia" w:ascii="仿宋_GB2312" w:hAnsi="仿宋_GB2312" w:eastAsia="仿宋_GB2312" w:cs="仿宋_GB2312"/>
          <w:sz w:val="32"/>
          <w:szCs w:val="32"/>
        </w:rPr>
        <w:t>街道安全体验中心，通过此次参观培训，全面学习了各项安全常识，不仅提升了面对突发事件的处置能力，更提醒</w:t>
      </w:r>
      <w:r>
        <w:rPr>
          <w:rFonts w:hint="eastAsia" w:ascii="仿宋_GB2312" w:hAnsi="仿宋_GB2312" w:eastAsia="仿宋_GB2312" w:cs="仿宋_GB2312"/>
          <w:sz w:val="32"/>
          <w:szCs w:val="32"/>
          <w:lang w:val="en-US" w:eastAsia="zh-CN"/>
        </w:rPr>
        <w:t>居民</w:t>
      </w:r>
      <w:r>
        <w:rPr>
          <w:rFonts w:hint="eastAsia" w:ascii="仿宋_GB2312" w:hAnsi="仿宋_GB2312" w:eastAsia="仿宋_GB2312" w:cs="仿宋_GB2312"/>
          <w:sz w:val="32"/>
          <w:szCs w:val="32"/>
        </w:rPr>
        <w:t>要高度重视安全，时刻关注安全，不断增强自我安全防范意识</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）政府向公众报告</w:t>
      </w:r>
    </w:p>
    <w:p>
      <w:pPr>
        <w:spacing w:line="560" w:lineRule="exact"/>
        <w:ind w:firstLine="640" w:firstLineChars="200"/>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pgNumType w:fmt="decimal" w:start="1"/>
          <w:cols w:space="425" w:num="1"/>
          <w:docGrid w:type="lines" w:linePitch="312" w:charSpace="0"/>
        </w:sectPr>
      </w:pPr>
      <w:r>
        <w:rPr>
          <w:rFonts w:hint="eastAsia" w:ascii="仿宋_GB2312" w:hAnsi="仿宋_GB2312" w:eastAsia="仿宋_GB2312" w:cs="仿宋_GB2312"/>
          <w:sz w:val="32"/>
          <w:szCs w:val="32"/>
          <w:lang w:val="en-US" w:eastAsia="zh-CN"/>
        </w:rPr>
        <w:t>2022年居民代表大会由现场评议改为网上评议，由</w:t>
      </w:r>
      <w:r>
        <w:rPr>
          <w:rFonts w:hint="eastAsia" w:ascii="仿宋_GB2312" w:hAnsi="仿宋_GB2312" w:eastAsia="仿宋_GB2312" w:cs="仿宋_GB2312"/>
          <w:sz w:val="32"/>
          <w:szCs w:val="32"/>
        </w:rPr>
        <w:t>代表们</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对街道办事处及4个政府职能部门派出机构的年度工作情况进行了评议打分，并提出了意见建议。</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依申请公开办理情况</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申请情况：街道202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年度收到申请总数为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kern w:val="0"/>
          <w:sz w:val="32"/>
          <w:szCs w:val="32"/>
        </w:rPr>
        <w:t>件。</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依申请公开政府信息收费情况</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按照市财政局、市发展改革委《关于清理规范一批行政事业性收费有关政策的通知》（京财综﹝2017﹞569号）要求，自2017年4月1日起，街道已停止收取依申请公开政府信息费用，故20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年街道对依申请提供政府信息收取检索、复制、邮寄等费用共计0元。对农村五保供养对象、城乡居民最低生活保障对象、领取国家抚恤补助的优抚对象，依法免收相关费用共计0元。</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政府信息管理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街道严格执行</w:t>
      </w:r>
      <w:r>
        <w:rPr>
          <w:rFonts w:hint="eastAsia" w:ascii="仿宋_GB2312" w:hAnsi="仿宋_GB2312" w:eastAsia="仿宋_GB2312" w:cs="仿宋_GB2312"/>
          <w:sz w:val="32"/>
          <w:szCs w:val="32"/>
          <w:lang w:val="en-US" w:eastAsia="zh-CN"/>
        </w:rPr>
        <w:t>信息公开</w:t>
      </w:r>
      <w:r>
        <w:rPr>
          <w:rFonts w:hint="eastAsia" w:ascii="仿宋_GB2312" w:hAnsi="仿宋_GB2312" w:eastAsia="仿宋_GB2312" w:cs="仿宋_GB2312"/>
          <w:sz w:val="32"/>
          <w:szCs w:val="32"/>
        </w:rPr>
        <w:t>工作制度，信息发布前严格履行“先审核后发布”的程序，对于重要敏感信息，必要时报主要领导审批发布，未经审核的信息不得擅自发布。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各微信公众号原则上根据各部门业务情况、工作热点等进行定期发布，其它信息根据街道要求进行随时发布，并有专人定期检查微信公众平台运行是否正常、内容有无被篡改等情况，做到专人管理专人维护。发现异常及时与业务部门负责人联系并采取措施，重大问题及时报告。</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政府信息公开平台建设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信息公开专栏维护情况：街道安排专人负责信息公开专栏维护工作，202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年结合街道主要职责、机构设置、领导分工等调整情况，</w:t>
      </w:r>
      <w:r>
        <w:rPr>
          <w:rFonts w:hint="eastAsia" w:ascii="仿宋_GB2312" w:hAnsi="仿宋_GB2312" w:eastAsia="仿宋_GB2312" w:cs="仿宋_GB2312"/>
          <w:sz w:val="32"/>
          <w:szCs w:val="32"/>
          <w:lang w:val="en-US" w:eastAsia="zh-CN"/>
        </w:rPr>
        <w:t>梳理对应本单位职责所需主动公开内容的完成情况结合本单位工作职责，在本单位网站显著位置主动公开街道机关职能、机构设置、办公地址、办公时间、联系方式、负责人姓名等信息。</w:t>
      </w:r>
      <w:r>
        <w:rPr>
          <w:rFonts w:hint="eastAsia" w:ascii="仿宋_GB2312" w:hAnsi="仿宋_GB2312" w:eastAsia="仿宋_GB2312" w:cs="仿宋_GB2312"/>
          <w:sz w:val="32"/>
          <w:szCs w:val="32"/>
        </w:rPr>
        <w:t>确保了所公开信息链接有效、内容准确。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公开场所的管理情况：街道设置政府信息公开查阅点数2个，分别是西城区图书馆牛街街道分馆和西城区牛街街道政务服务中心，并在《2022年牛街街道办事处信息公开指南》中将两处查阅场所的具体地址和联系电话进行了公布。同时严格执行《牛街街道接收区级公报、区级公开指南工作办法》，将市级公报、区级公报、区级公开指南发放至街道政务服务中心、街道社区服务中心图书馆等处的公共资料栏中，方便居民借阅。</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政府信息公开教育培训情况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安排专人参加西城区政府信息公开线上培训</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并认真学习信息公开</w:t>
      </w:r>
      <w:r>
        <w:rPr>
          <w:rFonts w:hint="eastAsia" w:ascii="仿宋_GB2312" w:hAnsi="仿宋_GB2312" w:eastAsia="仿宋_GB2312" w:cs="仿宋_GB2312"/>
          <w:sz w:val="32"/>
          <w:szCs w:val="32"/>
          <w:lang w:val="en-US" w:eastAsia="zh-CN"/>
        </w:rPr>
        <w:t>工作要点</w:t>
      </w:r>
      <w:r>
        <w:rPr>
          <w:rFonts w:hint="eastAsia" w:ascii="仿宋_GB2312" w:hAnsi="仿宋_GB2312" w:eastAsia="仿宋_GB2312" w:cs="仿宋_GB2312"/>
          <w:sz w:val="32"/>
          <w:szCs w:val="32"/>
        </w:rPr>
        <w:t>，将学习内容转达街道相关业务部门，认真抓好贯彻落实，切实做好政务信息公开工作。</w:t>
      </w:r>
    </w:p>
    <w:p>
      <w:pPr>
        <w:numPr>
          <w:ilvl w:val="0"/>
          <w:numId w:val="1"/>
        </w:numPr>
        <w:ind w:left="0" w:leftChars="0" w:firstLine="640" w:firstLineChars="200"/>
        <w:rPr>
          <w:rFonts w:hint="default"/>
          <w:lang w:val="en-US" w:eastAsia="zh-CN"/>
        </w:rPr>
      </w:pPr>
      <w:r>
        <w:rPr>
          <w:rFonts w:hint="eastAsia" w:ascii="黑体" w:hAnsi="黑体" w:eastAsia="黑体" w:cs="黑体"/>
          <w:sz w:val="32"/>
          <w:szCs w:val="32"/>
          <w:lang w:val="en-US" w:eastAsia="zh-CN"/>
        </w:rPr>
        <w:t>主动公开政府信息情况</w:t>
      </w:r>
    </w:p>
    <w:tbl>
      <w:tblPr>
        <w:tblStyle w:val="5"/>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68"/>
        <w:gridCol w:w="2349"/>
        <w:gridCol w:w="2290"/>
        <w:gridCol w:w="2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1337" w:type="pct"/>
            <w:tcBorders>
              <w:top w:val="single" w:color="000000" w:sz="8" w:space="0"/>
              <w:left w:val="nil"/>
              <w:bottom w:val="single" w:color="000000" w:sz="8" w:space="0"/>
              <w:right w:val="single" w:color="000000" w:sz="8" w:space="0"/>
            </w:tcBorders>
            <w:shd w:val="clear" w:color="auto" w:fill="BDD6E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w:t>
            </w:r>
            <w:r>
              <w:rPr>
                <w:rStyle w:val="7"/>
                <w:lang w:val="en-US" w:eastAsia="zh-CN" w:bidi="ar"/>
              </w:rPr>
              <w:t>制发件数</w:t>
            </w:r>
          </w:p>
        </w:tc>
        <w:tc>
          <w:tcPr>
            <w:tcW w:w="1303" w:type="pct"/>
            <w:tcBorders>
              <w:top w:val="single" w:color="000000" w:sz="8" w:space="0"/>
              <w:left w:val="nil"/>
              <w:bottom w:val="single" w:color="000000" w:sz="8" w:space="0"/>
              <w:right w:val="single" w:color="000000" w:sz="8" w:space="0"/>
            </w:tcBorders>
            <w:shd w:val="clear" w:color="auto" w:fill="BDD6E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本年废止件数</w:t>
            </w:r>
          </w:p>
        </w:tc>
        <w:tc>
          <w:tcPr>
            <w:tcW w:w="1295" w:type="pct"/>
            <w:tcBorders>
              <w:top w:val="single" w:color="000000" w:sz="8" w:space="0"/>
              <w:left w:val="nil"/>
              <w:bottom w:val="single" w:color="000000" w:sz="8" w:space="0"/>
              <w:right w:val="single" w:color="000000" w:sz="8" w:space="0"/>
            </w:tcBorders>
            <w:shd w:val="clear" w:color="auto" w:fill="BDD6EE"/>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现行有效件</w:t>
            </w:r>
            <w:r>
              <w:rPr>
                <w:rStyle w:val="7"/>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w:t>
            </w:r>
          </w:p>
        </w:tc>
        <w:tc>
          <w:tcPr>
            <w:tcW w:w="13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130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129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行政规范性文件</w:t>
            </w:r>
          </w:p>
        </w:tc>
        <w:tc>
          <w:tcPr>
            <w:tcW w:w="13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130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129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393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393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1"/>
                <w:szCs w:val="21"/>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393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393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393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393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63" w:type="pct"/>
            <w:tcBorders>
              <w:top w:val="nil"/>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行政事业性收费</w:t>
            </w:r>
          </w:p>
        </w:tc>
        <w:tc>
          <w:tcPr>
            <w:tcW w:w="3936"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1"/>
                <w:szCs w:val="21"/>
                <w:u w:val="none"/>
              </w:rPr>
            </w:pPr>
            <w:r>
              <w:rPr>
                <w:rFonts w:hint="default" w:ascii="Times New Roman" w:hAnsi="Times New Roman" w:eastAsia="宋体" w:cs="Times New Roman"/>
                <w:i w:val="0"/>
                <w:color w:val="000000"/>
                <w:kern w:val="0"/>
                <w:sz w:val="20"/>
                <w:szCs w:val="20"/>
                <w:u w:val="none"/>
                <w:lang w:val="en-US" w:eastAsia="zh-CN" w:bidi="ar"/>
              </w:rPr>
              <w:t>0</w:t>
            </w:r>
          </w:p>
        </w:tc>
      </w:tr>
    </w:tbl>
    <w:p>
      <w:pPr>
        <w:pStyle w:val="2"/>
        <w:rPr>
          <w:rFonts w:hint="default"/>
          <w:lang w:val="en-US" w:eastAsia="zh-CN"/>
        </w:rPr>
      </w:pPr>
    </w:p>
    <w:p>
      <w:pPr>
        <w:pStyle w:val="2"/>
        <w:numPr>
          <w:ilvl w:val="0"/>
          <w:numId w:val="1"/>
        </w:numPr>
        <w:ind w:left="0" w:leftChars="0" w:firstLine="640" w:firstLineChars="200"/>
        <w:rPr>
          <w:rFonts w:hint="default"/>
          <w:lang w:val="en-US" w:eastAsia="zh-CN"/>
        </w:rPr>
      </w:pPr>
      <w:r>
        <w:rPr>
          <w:rFonts w:hint="eastAsia" w:ascii="黑体" w:hAnsi="黑体" w:eastAsia="黑体" w:cs="黑体"/>
          <w:sz w:val="32"/>
          <w:szCs w:val="32"/>
          <w:lang w:val="en-US" w:eastAsia="zh-CN"/>
        </w:rPr>
        <w:t>收到和处理政府信息公开申请情况</w:t>
      </w:r>
    </w:p>
    <w:tbl>
      <w:tblPr>
        <w:tblStyle w:val="5"/>
        <w:tblW w:w="495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6"/>
        <w:gridCol w:w="915"/>
        <w:gridCol w:w="2666"/>
        <w:gridCol w:w="590"/>
        <w:gridCol w:w="792"/>
        <w:gridCol w:w="669"/>
        <w:gridCol w:w="574"/>
        <w:gridCol w:w="565"/>
        <w:gridCol w:w="605"/>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431" w:type="pct"/>
            <w:gridSpan w:val="3"/>
            <w:vMerge w:val="restart"/>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left"/>
              <w:textAlignment w:val="center"/>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（本列数据的勾稽关系为：第一项加第二项之和，等于第三项加第四项之和）</w:t>
            </w:r>
          </w:p>
        </w:tc>
        <w:tc>
          <w:tcPr>
            <w:tcW w:w="2568" w:type="pct"/>
            <w:gridSpan w:val="7"/>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431" w:type="pct"/>
            <w:gridSpan w:val="3"/>
            <w:vMerge w:val="continue"/>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35" w:type="pct"/>
            <w:vMerge w:val="restart"/>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w:t>
            </w:r>
          </w:p>
        </w:tc>
        <w:tc>
          <w:tcPr>
            <w:tcW w:w="1821" w:type="pct"/>
            <w:gridSpan w:val="5"/>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法人或其他组织</w:t>
            </w:r>
          </w:p>
        </w:tc>
        <w:tc>
          <w:tcPr>
            <w:tcW w:w="411" w:type="pct"/>
            <w:vMerge w:val="restart"/>
            <w:tcBorders>
              <w:top w:val="single" w:color="000000" w:sz="8" w:space="0"/>
              <w:left w:val="single" w:color="000000" w:sz="8" w:space="0"/>
              <w:bottom w:val="single" w:color="000000" w:sz="8"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2431" w:type="pct"/>
            <w:gridSpan w:val="3"/>
            <w:vMerge w:val="continue"/>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left"/>
              <w:rPr>
                <w:rFonts w:hint="eastAsia" w:ascii="楷体" w:hAnsi="楷体" w:eastAsia="楷体" w:cs="楷体"/>
                <w:i w:val="0"/>
                <w:color w:val="000000"/>
                <w:sz w:val="20"/>
                <w:szCs w:val="20"/>
                <w:u w:val="none"/>
              </w:rPr>
            </w:pPr>
          </w:p>
        </w:tc>
        <w:tc>
          <w:tcPr>
            <w:tcW w:w="335" w:type="pct"/>
            <w:vMerge w:val="continue"/>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pct"/>
            <w:tcBorders>
              <w:top w:val="nil"/>
              <w:left w:val="nil"/>
              <w:bottom w:val="single" w:color="auto" w:sz="4"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商业</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380" w:type="pct"/>
            <w:tcBorders>
              <w:top w:val="nil"/>
              <w:left w:val="nil"/>
              <w:bottom w:val="single" w:color="auto" w:sz="4"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科研</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w:t>
            </w:r>
          </w:p>
        </w:tc>
        <w:tc>
          <w:tcPr>
            <w:tcW w:w="326" w:type="pct"/>
            <w:tcBorders>
              <w:top w:val="single" w:color="000000" w:sz="8" w:space="0"/>
              <w:left w:val="single" w:color="000000" w:sz="8" w:space="0"/>
              <w:bottom w:val="single" w:color="auto" w:sz="4"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社会公益组织</w:t>
            </w:r>
          </w:p>
        </w:tc>
        <w:tc>
          <w:tcPr>
            <w:tcW w:w="321" w:type="pct"/>
            <w:tcBorders>
              <w:top w:val="single" w:color="000000" w:sz="8" w:space="0"/>
              <w:left w:val="single" w:color="000000" w:sz="8" w:space="0"/>
              <w:bottom w:val="single" w:color="auto" w:sz="4"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法律服务机构</w:t>
            </w:r>
          </w:p>
        </w:tc>
        <w:tc>
          <w:tcPr>
            <w:tcW w:w="343" w:type="pct"/>
            <w:tcBorders>
              <w:top w:val="single" w:color="000000" w:sz="8" w:space="0"/>
              <w:left w:val="single" w:color="000000" w:sz="8" w:space="0"/>
              <w:bottom w:val="single" w:color="auto" w:sz="4" w:space="0"/>
              <w:right w:val="single" w:color="000000" w:sz="8"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411" w:type="pct"/>
            <w:vMerge w:val="continue"/>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431" w:type="pct"/>
            <w:gridSpan w:val="3"/>
            <w:tcBorders>
              <w:top w:val="single" w:color="auto" w:sz="4" w:space="0"/>
              <w:left w:val="single" w:color="auto" w:sz="4" w:space="0"/>
              <w:bottom w:val="single" w:color="auto" w:sz="4" w:space="0"/>
              <w:right w:val="single" w:color="auto" w:sz="4"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一、本年新收政府信息公开申请数量</w:t>
            </w:r>
          </w:p>
        </w:tc>
        <w:tc>
          <w:tcPr>
            <w:tcW w:w="3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431" w:type="pct"/>
            <w:gridSpan w:val="3"/>
            <w:tcBorders>
              <w:top w:val="single" w:color="auto" w:sz="4" w:space="0"/>
              <w:left w:val="single" w:color="auto" w:sz="4" w:space="0"/>
              <w:bottom w:val="single" w:color="auto" w:sz="4" w:space="0"/>
              <w:right w:val="single" w:color="auto" w:sz="4"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二、上年结转政府信息公开申请数量</w:t>
            </w:r>
          </w:p>
        </w:tc>
        <w:tc>
          <w:tcPr>
            <w:tcW w:w="3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96" w:type="pct"/>
            <w:vMerge w:val="restart"/>
            <w:tcBorders>
              <w:top w:val="single" w:color="auto" w:sz="4" w:space="0"/>
              <w:left w:val="single" w:color="auto" w:sz="4" w:space="0"/>
              <w:bottom w:val="single" w:color="auto" w:sz="4" w:space="0"/>
              <w:right w:val="single" w:color="auto" w:sz="4"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三、本年度办理结果</w:t>
            </w:r>
          </w:p>
        </w:tc>
        <w:tc>
          <w:tcPr>
            <w:tcW w:w="2034" w:type="pct"/>
            <w:gridSpan w:val="2"/>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（一）予以公开</w:t>
            </w:r>
          </w:p>
        </w:tc>
        <w:tc>
          <w:tcPr>
            <w:tcW w:w="3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96" w:type="pct"/>
            <w:vMerge w:val="continue"/>
            <w:tcBorders>
              <w:top w:val="single" w:color="auto" w:sz="4" w:space="0"/>
              <w:left w:val="single" w:color="auto" w:sz="4" w:space="0"/>
              <w:bottom w:val="single" w:color="auto" w:sz="4"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34" w:type="pct"/>
            <w:gridSpan w:val="2"/>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（二）部分公开</w:t>
            </w:r>
            <w:r>
              <w:rPr>
                <w:rFonts w:hint="eastAsia" w:ascii="楷体" w:hAnsi="楷体" w:eastAsia="楷体" w:cs="楷体"/>
                <w:i w:val="0"/>
                <w:color w:val="000000"/>
                <w:kern w:val="0"/>
                <w:sz w:val="20"/>
                <w:szCs w:val="20"/>
                <w:u w:val="none"/>
                <w:lang w:val="en-US" w:eastAsia="zh-CN" w:bidi="ar"/>
              </w:rPr>
              <w:t>（区分处理的，只计这一情形，不计其他情形）</w:t>
            </w:r>
          </w:p>
        </w:tc>
        <w:tc>
          <w:tcPr>
            <w:tcW w:w="3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auto" w:sz="4"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restart"/>
            <w:tcBorders>
              <w:top w:val="single" w:color="auto" w:sz="4" w:space="0"/>
              <w:left w:val="single" w:color="auto" w:sz="4" w:space="0"/>
              <w:bottom w:val="single" w:color="auto" w:sz="4"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（三）不予公开</w:t>
            </w:r>
          </w:p>
        </w:tc>
        <w:tc>
          <w:tcPr>
            <w:tcW w:w="1514" w:type="pct"/>
            <w:tcBorders>
              <w:top w:val="single" w:color="auto" w:sz="4" w:space="0"/>
              <w:left w:val="nil"/>
              <w:bottom w:val="single" w:color="auto" w:sz="4"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1.属于国家秘密</w:t>
            </w:r>
          </w:p>
        </w:tc>
        <w:tc>
          <w:tcPr>
            <w:tcW w:w="335"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auto" w:sz="4" w:space="0"/>
              <w:left w:val="single" w:color="auto" w:sz="4"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single" w:color="auto" w:sz="4" w:space="0"/>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2.其他法律行政法规禁止公开</w:t>
            </w:r>
          </w:p>
        </w:tc>
        <w:tc>
          <w:tcPr>
            <w:tcW w:w="335"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auto" w:sz="4"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3.危及“三安全一稳定”</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auto" w:sz="4"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4.保护第三方合法权益</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auto" w:sz="4"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5.属于三类内部事务信息</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auto" w:sz="4"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6.属于四类过程性信息</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auto" w:sz="4"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7.属于行政执法案卷</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auto" w:sz="4"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8.属于行政查询事项</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restart"/>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（四）无法提供</w:t>
            </w: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1.本机关不掌握相关政府信息</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2.没有现成信息需要另行制作</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3.补正后申请内容仍不明确</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restart"/>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（五）不予处理</w:t>
            </w: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1.信访举报投诉类申请</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2.重复申请</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3.要求提供公开出版物</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4.无正当理由大量反复申请</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396" w:type="pct"/>
            <w:vMerge w:val="continue"/>
            <w:tcBorders>
              <w:top w:val="single" w:color="000000" w:sz="8" w:space="0"/>
              <w:left w:val="single" w:color="auto" w:sz="4" w:space="0"/>
              <w:bottom w:val="single" w:color="auto" w:sz="4"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000000" w:sz="8" w:space="0"/>
              <w:bottom w:val="single" w:color="auto" w:sz="4" w:space="0"/>
              <w:right w:val="single" w:color="000000" w:sz="8" w:space="0"/>
            </w:tcBorders>
            <w:shd w:val="clear" w:color="auto" w:fill="DEEAF6"/>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4" w:type="pct"/>
            <w:tcBorders>
              <w:top w:val="nil"/>
              <w:left w:val="nil"/>
              <w:bottom w:val="single" w:color="auto" w:sz="4"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5.要求行政机关确认或重新出具已获取信息</w:t>
            </w:r>
          </w:p>
        </w:tc>
        <w:tc>
          <w:tcPr>
            <w:tcW w:w="335"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auto" w:sz="4" w:space="0"/>
              <w:left w:val="single" w:color="auto" w:sz="4" w:space="0"/>
              <w:bottom w:val="single" w:color="auto" w:sz="4"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restart"/>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（六）其他处理</w:t>
            </w:r>
          </w:p>
        </w:tc>
        <w:tc>
          <w:tcPr>
            <w:tcW w:w="1514" w:type="pct"/>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0.其他处理总计</w:t>
            </w:r>
          </w:p>
        </w:tc>
        <w:tc>
          <w:tcPr>
            <w:tcW w:w="3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96" w:type="pct"/>
            <w:vMerge w:val="continue"/>
            <w:tcBorders>
              <w:top w:val="single" w:color="auto" w:sz="4" w:space="0"/>
              <w:left w:val="single" w:color="auto" w:sz="4" w:space="0"/>
              <w:bottom w:val="single" w:color="auto" w:sz="4" w:space="0"/>
              <w:right w:val="single" w:color="auto" w:sz="4"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4" w:type="pct"/>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1.申请人无正当理由逾期不补正、行政机关不再处理其政府信息公开申请</w:t>
            </w:r>
          </w:p>
        </w:tc>
        <w:tc>
          <w:tcPr>
            <w:tcW w:w="33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396" w:type="pct"/>
            <w:vMerge w:val="continue"/>
            <w:tcBorders>
              <w:top w:val="single" w:color="auto" w:sz="4"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auto" w:sz="4"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4" w:type="pct"/>
            <w:tcBorders>
              <w:top w:val="single" w:color="auto" w:sz="4" w:space="0"/>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2.申请人逾期未按收费通知要求缴纳费用、行政机关不再处理其政府信息公开申请</w:t>
            </w:r>
          </w:p>
        </w:tc>
        <w:tc>
          <w:tcPr>
            <w:tcW w:w="335"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0" w:type="pct"/>
            <w:vMerge w:val="continue"/>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4" w:type="pct"/>
            <w:tcBorders>
              <w:top w:val="nil"/>
              <w:left w:val="nil"/>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3.其他</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6" w:type="pct"/>
            <w:vMerge w:val="continue"/>
            <w:tcBorders>
              <w:top w:val="single" w:color="000000" w:sz="8" w:space="0"/>
              <w:left w:val="single" w:color="auto" w:sz="4" w:space="0"/>
              <w:bottom w:val="single" w:color="000000" w:sz="8" w:space="0"/>
              <w:right w:val="single" w:color="000000" w:sz="8" w:space="0"/>
            </w:tcBorders>
            <w:shd w:val="clear" w:color="auto" w:fill="9CC2E5"/>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34" w:type="pct"/>
            <w:gridSpan w:val="2"/>
            <w:tcBorders>
              <w:top w:val="single" w:color="000000" w:sz="8" w:space="0"/>
              <w:left w:val="single" w:color="000000" w:sz="8" w:space="0"/>
              <w:bottom w:val="single" w:color="000000" w:sz="8" w:space="0"/>
              <w:right w:val="single" w:color="000000" w:sz="8" w:space="0"/>
            </w:tcBorders>
            <w:shd w:val="clear" w:color="auto" w:fill="DEEAF6"/>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（七）总计</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2431" w:type="pct"/>
            <w:gridSpan w:val="3"/>
            <w:tcBorders>
              <w:top w:val="single" w:color="000000" w:sz="8" w:space="0"/>
              <w:left w:val="single" w:color="000000" w:sz="8" w:space="0"/>
              <w:bottom w:val="single" w:color="000000" w:sz="8"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shd w:val="clear" w:fill="9CC2E5"/>
                <w:lang w:val="en-US" w:eastAsia="zh-CN" w:bidi="ar"/>
              </w:rPr>
              <w:t>四、结转下年度继续办理</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2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3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c>
          <w:tcPr>
            <w:tcW w:w="4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0"/>
                <w:szCs w:val="20"/>
                <w:u w:val="none"/>
              </w:rPr>
            </w:pPr>
            <w:r>
              <w:rPr>
                <w:rFonts w:hint="default" w:ascii="Calibri" w:hAnsi="Calibri" w:eastAsia="等线" w:cs="Calibri"/>
                <w:i w:val="0"/>
                <w:color w:val="000000"/>
                <w:kern w:val="0"/>
                <w:sz w:val="20"/>
                <w:szCs w:val="20"/>
                <w:u w:val="none"/>
                <w:lang w:val="en-US" w:eastAsia="zh-CN" w:bidi="ar"/>
              </w:rPr>
              <w:t>0</w:t>
            </w:r>
          </w:p>
        </w:tc>
      </w:tr>
    </w:tbl>
    <w:p>
      <w:pPr>
        <w:pStyle w:val="2"/>
        <w:rPr>
          <w:rFonts w:hint="default"/>
          <w:lang w:val="en-US" w:eastAsia="zh-CN"/>
        </w:rPr>
      </w:pPr>
    </w:p>
    <w:p>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9"/>
        <w:gridCol w:w="519"/>
        <w:gridCol w:w="499"/>
        <w:gridCol w:w="552"/>
        <w:gridCol w:w="692"/>
        <w:gridCol w:w="614"/>
        <w:gridCol w:w="630"/>
        <w:gridCol w:w="644"/>
        <w:gridCol w:w="561"/>
        <w:gridCol w:w="589"/>
        <w:gridCol w:w="591"/>
        <w:gridCol w:w="554"/>
        <w:gridCol w:w="561"/>
        <w:gridCol w:w="616"/>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85" w:type="pct"/>
            <w:gridSpan w:val="5"/>
            <w:tcBorders>
              <w:top w:val="single" w:color="000000" w:sz="8" w:space="0"/>
              <w:left w:val="single" w:color="000000" w:sz="8" w:space="0"/>
              <w:bottom w:val="single" w:color="auto" w:sz="4"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行政复议</w:t>
            </w:r>
          </w:p>
        </w:tc>
        <w:tc>
          <w:tcPr>
            <w:tcW w:w="3414" w:type="pct"/>
            <w:gridSpan w:val="10"/>
            <w:tcBorders>
              <w:top w:val="single" w:color="000000" w:sz="8" w:space="0"/>
              <w:left w:val="single" w:color="000000" w:sz="8" w:space="0"/>
              <w:bottom w:val="single" w:color="auto" w:sz="4" w:space="0"/>
              <w:right w:val="single" w:color="000000" w:sz="8" w:space="0"/>
            </w:tcBorders>
            <w:shd w:val="clear" w:color="auto" w:fill="9CC2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1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结果维持</w:t>
            </w:r>
          </w:p>
        </w:tc>
        <w:tc>
          <w:tcPr>
            <w:tcW w:w="293"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纠正</w:t>
            </w:r>
          </w:p>
        </w:tc>
        <w:tc>
          <w:tcPr>
            <w:tcW w:w="28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尚未</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审结</w:t>
            </w: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1712" w:type="pct"/>
            <w:gridSpan w:val="5"/>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未经复议直接起诉</w:t>
            </w:r>
          </w:p>
        </w:tc>
        <w:tc>
          <w:tcPr>
            <w:tcW w:w="1702" w:type="pct"/>
            <w:gridSpan w:val="5"/>
            <w:tcBorders>
              <w:top w:val="single" w:color="auto" w:sz="4" w:space="0"/>
              <w:left w:val="single" w:color="auto" w:sz="4" w:space="0"/>
              <w:bottom w:val="single" w:color="auto" w:sz="4" w:space="0"/>
              <w:right w:val="single" w:color="auto" w:sz="4" w:space="0"/>
            </w:tcBorders>
            <w:shd w:val="clear" w:color="auto" w:fill="DEEAF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1" w:hRule="atLeast"/>
        </w:trPr>
        <w:tc>
          <w:tcPr>
            <w:tcW w:w="31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1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8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维持</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纠正</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尚未</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审结</w:t>
            </w:r>
          </w:p>
        </w:tc>
        <w:tc>
          <w:tcPr>
            <w:tcW w:w="3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维持</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纠正</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尚未</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审结</w:t>
            </w:r>
          </w:p>
        </w:tc>
        <w:tc>
          <w:tcPr>
            <w:tcW w:w="3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1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29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28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4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6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c>
          <w:tcPr>
            <w:tcW w:w="3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0</w:t>
            </w:r>
          </w:p>
        </w:tc>
        <w:tc>
          <w:tcPr>
            <w:tcW w:w="39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1</w:t>
            </w:r>
          </w:p>
        </w:tc>
      </w:tr>
    </w:tbl>
    <w:p>
      <w:pPr>
        <w:pStyle w:val="2"/>
        <w:rPr>
          <w:rFonts w:hint="eastAsia"/>
          <w:lang w:val="en-US" w:eastAsia="zh-CN"/>
        </w:rPr>
      </w:pPr>
    </w:p>
    <w:p>
      <w:pPr>
        <w:pStyle w:val="2"/>
        <w:numPr>
          <w:ilvl w:val="0"/>
          <w:numId w:val="1"/>
        </w:numPr>
        <w:ind w:left="0" w:leftChars="0"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是进一步完善审查制度，加强发布前的审查工作</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确保公开信息的严谨性。</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lang w:val="en-US" w:eastAsia="zh-CN"/>
        </w:rPr>
      </w:pPr>
      <w:r>
        <w:rPr>
          <w:rFonts w:hint="eastAsia"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kern w:val="2"/>
          <w:sz w:val="32"/>
          <w:szCs w:val="32"/>
          <w:lang w:val="en-US" w:eastAsia="zh-CN" w:bidi="ar-SA"/>
        </w:rPr>
        <w:t>是进一步积极组织开展会议开放、政府开放日、政府向公众报告工作</w:t>
      </w:r>
      <w:r>
        <w:rPr>
          <w:rFonts w:hint="eastAsia" w:ascii="Times New Roman" w:hAnsi="Times New Roman" w:eastAsia="仿宋_GB2312" w:cs="Times New Roman"/>
          <w:kern w:val="2"/>
          <w:sz w:val="32"/>
          <w:szCs w:val="32"/>
          <w:lang w:val="en-US" w:eastAsia="zh-CN" w:bidi="ar-SA"/>
        </w:rPr>
        <w:t>，扩大地区居民、单位参与互动，听取意见建议。</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根据国务院办公厅《政府信息公开信息处理费管理办法》（国办函[2020]109号）收取信息处理费的情况，在此处专门报告。报告两项内容：一时发出收费通知的件数为0件、总金额为0元，二是实际收取的总金额为0元。</w:t>
      </w:r>
    </w:p>
    <w:p>
      <w:pPr>
        <w:pStyle w:val="2"/>
        <w:rPr>
          <w:rFonts w:hint="default"/>
          <w:lang w:val="en-US" w:eastAsia="zh-CN"/>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C40E2"/>
    <w:multiLevelType w:val="singleLevel"/>
    <w:tmpl w:val="DA8C40E2"/>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B6730"/>
    <w:rsid w:val="4474475D"/>
    <w:rsid w:val="5BB822DF"/>
    <w:rsid w:val="5DDA6A98"/>
    <w:rsid w:val="5FEE12B7"/>
    <w:rsid w:val="64BD1AA4"/>
    <w:rsid w:val="6DCC0525"/>
    <w:rsid w:val="77834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2023-01-09T10:36:00Z</dcterms:created>
  <dc:creator>admin</dc:creator>
  <cp:lastModifiedBy>admin</cp:lastModifiedBy>
  <cp:lastPrinted>2023-01-12T03:48:00Z</cp:lastPrinted>
  <dcterms:modified xsi:type="dcterms:W3CDTF">2023-03-13T02:14:30Z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