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napToGrid/>
        <w:spacing w:line="68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《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北京市西城区促进专业服务业高质量发展的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若干措施》的起草说明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一、政策制定背景和过程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 xml:space="preserve">   </w:t>
      </w:r>
      <w:r>
        <w:rPr>
          <w:rFonts w:hint="eastAsia"/>
          <w:b w:val="0"/>
          <w:bCs w:val="0"/>
        </w:rPr>
        <w:t>（一）制定背景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2020年5月，我区在全市率先出台了《促进专业服务业高质量发展的若干措施（试行）》（西发改〔2020〕75号），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法律、会计、咨询与评估等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细分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。政策发布实施以来，通过兑现落实金融街专业服务团、高端品牌奖励、发展贡献奖励等支持政策，在机构培育、品牌提升、平台搭建等方面发挥了重要促进作用。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为加快优质服务机构集聚、提升专业服务品牌能级、持续发挥政策引领作用，结合现行政策使用时限，区发改委启动了对《北京市西城区促进专业服务业的若干措施（试行）》的修订工作。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2022年，结合政策执行情况和机构发展需求，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进行多次修改完善，形成《北京市西城区促进专业服务业的若干措施》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（征求意见稿）。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黑体"/>
          <w:sz w:val="32"/>
          <w:szCs w:val="32"/>
        </w:rPr>
        <w:t>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2" w:firstLineChars="200"/>
        <w:jc w:val="both"/>
        <w:textAlignment w:val="auto"/>
        <w:rPr>
          <w:rFonts w:hAnsi="仿宋_GB2312" w:eastAsia="仿宋_GB2312" w:cs="仿宋_GB2312"/>
          <w:b w:val="0"/>
          <w:kern w:val="2"/>
          <w:sz w:val="32"/>
          <w:highlight w:val="none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  <w:lang w:eastAsia="zh-CN"/>
        </w:rPr>
        <w:t>第一章，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>重构政策制定目标，扩大支持行业范围。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突出专业服务业在西城区产业发展体系中的定位，着力为全区产业融合创新发展提供配套支持。将“广告服务、知识产权服务、招商中介服务、协同服务平台”纳入支持行业范围，促进行业多元化发展。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Ansi="仿宋_GB2312" w:eastAsia="仿宋_GB2312" w:cs="仿宋_GB2312"/>
          <w:b w:val="0"/>
          <w:kern w:val="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  <w:lang w:eastAsia="zh-CN"/>
        </w:rPr>
        <w:t>第二章，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>突出促进协同合作，挖潜机构服务功能。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强调充分发挥政府平台作用，鼓励组建服务联盟；进一步明确入选专业服务团机构的功能作用，引导入团机构驻区企业提供专业指导及智力支持；调整举办活动支持方式，由资金支持改为引导服务支持。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Ansi="仿宋_GB2312" w:eastAsia="仿宋_GB2312" w:cs="仿宋_GB2312"/>
          <w:b w:val="0"/>
          <w:kern w:val="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  <w:lang w:eastAsia="zh-CN"/>
        </w:rPr>
        <w:t>第三章，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>支持业务拓展，促进机构创新发展。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充分考虑专业服务行业属性及机构发展需求，新增支持专业服务机构为企业IPO、并购重组、增资扩股等提供专业服务，围绕北交所发展提供配套支持。同时新增鼓励机构开展涉外业务，为符合条件的企业提供最高100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万元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的资金支持，引导专业服务机构提高国际服务市场竞争力。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Ansi="仿宋_GB2312" w:eastAsia="仿宋_GB2312" w:cs="仿宋_GB2312"/>
          <w:b w:val="0"/>
          <w:kern w:val="2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  <w:lang w:eastAsia="zh-CN"/>
        </w:rPr>
        <w:t>第四章，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>鼓励机构创优评先，提升专业服务能力。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调整高端品牌奖励支持方式，鼓励专业服务机构参与行业高层级权威荣誉认定，塑造具有核心竞争力的特色服务品牌，为获得荣誉认定的机构提供最高20万元的资金奖励；新增支持机构参与标准制定，提升专业服务水平，为符合条件的机构提供最高30万元的资金补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/>
        <w:jc w:val="both"/>
        <w:textAlignment w:val="auto"/>
      </w:pP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  <w:lang w:eastAsia="zh-CN"/>
        </w:rPr>
        <w:t>第五章，</w:t>
      </w:r>
      <w:r>
        <w:rPr>
          <w:rFonts w:hint="eastAsia" w:ascii="楷体_GB2312" w:hAnsi="楷体_GB2312" w:eastAsia="楷体_GB2312" w:cs="楷体_GB2312"/>
          <w:b w:val="0"/>
          <w:kern w:val="2"/>
          <w:sz w:val="32"/>
          <w:highlight w:val="none"/>
        </w:rPr>
        <w:t>强化政策吸引能级，推动优质机构集聚。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新增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新涵养机购落户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奖励、提高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购租房资金补助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额度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，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由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重点企业政策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  <w:lang w:eastAsia="zh-CN"/>
        </w:rPr>
        <w:t>统一执行兑现</w:t>
      </w:r>
      <w:r>
        <w:rPr>
          <w:rFonts w:hint="eastAsia" w:hAnsi="仿宋_GB2312" w:eastAsia="仿宋_GB2312" w:cs="仿宋_GB2312"/>
          <w:b w:val="0"/>
          <w:kern w:val="2"/>
          <w:sz w:val="32"/>
          <w:highlight w:val="none"/>
        </w:rPr>
        <w:t>。调整发展贡献奖励、空间改造支持表述内容，与其他相关政策保持一致。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6BB855"/>
    <w:multiLevelType w:val="singleLevel"/>
    <w:tmpl w:val="E86BB8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7CFA"/>
    <w:rsid w:val="1A79698F"/>
    <w:rsid w:val="1B255AA2"/>
    <w:rsid w:val="2E7D0BC6"/>
    <w:rsid w:val="3C0C4656"/>
    <w:rsid w:val="3F0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/>
      <w:b/>
      <w:kern w:val="0"/>
      <w:szCs w:val="32"/>
    </w:rPr>
  </w:style>
  <w:style w:type="paragraph" w:styleId="4">
    <w:name w:val="Normal Indent"/>
    <w:basedOn w:val="1"/>
    <w:unhideWhenUsed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line="578" w:lineRule="exact"/>
      <w:jc w:val="center"/>
      <w:outlineLvl w:val="1"/>
    </w:pPr>
    <w:rPr>
      <w:rFonts w:ascii="Cambria" w:hAnsi="Cambria" w:eastAsia="楷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2023-05-16T09:22:00Z</dcterms:created>
  <dc:creator>NTKO</dc:creator>
  <cp:lastModifiedBy>NTKO</cp:lastModifiedBy>
  <cp:lastPrinted>2023-05-17T03:04:56Z</cp:lastPrinted>
  <dcterms:modified xsi:type="dcterms:W3CDTF">2023-05-17T03:07:02Z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