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/>
        <w:spacing w:line="68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jc w:val="both"/>
        <w:textAlignment w:val="auto"/>
        <w:rPr>
          <w:rFonts w:ascii="Times New Roman" w:hAnsi="Times New Roman" w:eastAsia="黑体"/>
          <w:kern w:val="0"/>
          <w:sz w:val="36"/>
          <w:szCs w:val="36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jc w:val="both"/>
        <w:textAlignment w:val="auto"/>
        <w:rPr>
          <w:rFonts w:ascii="Times New Roman" w:hAnsi="Times New Roman" w:eastAsia="黑体"/>
          <w:kern w:val="0"/>
          <w:sz w:val="36"/>
          <w:szCs w:val="36"/>
          <w:highlight w:val="none"/>
        </w:rPr>
      </w:pPr>
      <w:r>
        <w:rPr>
          <w:rFonts w:ascii="Times New Roman" w:hAnsi="Times New Roman" w:eastAsia="黑体"/>
          <w:kern w:val="0"/>
          <w:sz w:val="36"/>
          <w:szCs w:val="36"/>
          <w:highlight w:val="none"/>
        </w:rPr>
        <w:t>北京市西城区促进专业服务业高质量发展的若干措施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line="560" w:lineRule="exact"/>
        <w:ind w:firstLine="3190" w:firstLineChars="997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ascii="Times New Roman" w:hAnsi="Times New Roman" w:eastAsia="黑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ascii="Times New Roman" w:hAnsi="Times New Roman" w:eastAsia="黑体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第一条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推动产业融合创新发展，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促进西城区专业服务业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发展能级提升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发挥专业服务业对赋能高质量发展、促进价值链高端产业集聚的作用，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特制定本措施。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第二条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本措施支持的专业服务业机构应符合首都核心区功能定位，具有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高品质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专业服务水平，彰显较强的国际影响力、品牌效应和跨领域融合渗透能力，具备行业引领性、示范性、带动性。本措施所称的专业服务业机构原则上应在西城区办理税务登记手续，且依法合规运营，具体包括：法律服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会计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审计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及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税务服务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、咨询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与评估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服务、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人力资源服务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信用服务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、广告服务、知识产权服务、招商中介服务、协同服务平台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等市场主体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jc w:val="both"/>
        <w:textAlignment w:val="auto"/>
        <w:rPr>
          <w:rFonts w:ascii="Times New Roman" w:hAnsi="Times New Roman" w:eastAsia="黑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</w:rPr>
        <w:t>章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  <w:t>促进协同合作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搭建专业服务合作平台。选取具有高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品质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服务水平的专业机构组成“专业服务团”，建立驻区企业与高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品质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专业服务机构双向沟通平台，举办发布会、论坛、专业培训等活动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。利用“专业服务团”服务合力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优势，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向驻区企业提供上市辅导、管理提升、市场拓展等多元化支持，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促进政府、企业、专业服务业机构的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协同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合作。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四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鼓励行业跨领域联盟。鼓励建立跨领域多资质的综合性专业服务机制，鼓励组建服务联盟，培育形成全过程、全链条、跨领域的综合性专业服务业行业。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五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支持加强品牌建设。依托国家金融管理中心、国家级金融科技示范区资源优势，借助金融街论坛、成方论坛等高端交流平台，鼓励打造国际级、国家级专业服务高端品牌。支持举办各类具有较强影响力的国际、国家级博览会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论坛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、发布及行业交流活动，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提升品牌影响力。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jc w:val="center"/>
        <w:textAlignment w:val="auto"/>
        <w:rPr>
          <w:rFonts w:ascii="Times New Roman" w:hAnsi="Times New Roman" w:eastAsia="黑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jc w:val="center"/>
        <w:textAlignment w:val="auto"/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  <w:t>三</w:t>
      </w: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章  支持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  <w:t>业务拓展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第六条  支持开展上市服务业务。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围绕企业IPO、并购重组、增资扩股等服务需求，鼓励法律、会计、审计、咨询、评估等领域专业机构提供专业服务，助力企业更加有效利用资本市场。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第七条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支持拓展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涉外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业务。鼓励专业服务业机构开展涉外业务，承接国际项目，提高国际服务市场竞争力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年度涉外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业务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实际收入的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%比例给予机构奖励，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单家机构年度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奖励金额不超过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人民币（含）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第八条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 xml:space="preserve">  提升政府购买服务品质。按照进一步深化政府采购制度改革的要求，做好政府采购信息公开共享水平，逐步加大政府购买高品质专业服务力度。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60" w:lineRule="exact"/>
        <w:jc w:val="center"/>
        <w:textAlignment w:val="auto"/>
        <w:rPr>
          <w:rFonts w:ascii="Times New Roman" w:hAnsi="Times New Roman" w:eastAsia="黑体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  <w:t>四</w:t>
      </w: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 xml:space="preserve">章 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提高专业化水平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鼓励机构参与创优评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先。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政策发布后首次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获得司法部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门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评定“全国优秀律师事务所”、获得中国注册会计师协会评定列为“全国综合评价前百家会计师事务所”、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获得中国注册税务师协会评定列为“年度经营收入前百家税务师事务所”、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获得中国资产评估协会评定位列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“全国综合得分前百家资产评估机构”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获得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国家人力资源社保部门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认定为“全国人力资源诚信服务示范机构”等其他国家级荣誉称号的专业服务业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机构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给予最高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20万元人民币（含）的资金奖励。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第十条  支持标准制定。鼓励专业服务业机构探索服务新路径，对主导、参与制定且在起草单位排名前三名的专业服务的国际标准、国家标准、行业标准、团体标准的机构，分别给予一次性30万元人民币（含）、20万元人民币（含）、10万元人民币（含）、1万元人民币（含）的补助。系列标准按一个标准给予支持，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同一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年度标准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制定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补助资金不超过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100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人民币（含）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条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支持人才专业化发展。为国际化专业服务人士开通优秀人才引进“绿色通道”；推荐优秀人才参加正高级经济师、正高级会计师等各类专业技术资格评价；协助专业服务业机构优秀人才参与国家、北京市、西城区人才评选表彰和人才项目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拓展专业服务业高端人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才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参政议政渠道，积极发挥专业服务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人才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社会价值。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jc w:val="both"/>
        <w:textAlignment w:val="auto"/>
        <w:rPr>
          <w:rFonts w:ascii="Times New Roman" w:hAnsi="Times New Roman" w:eastAsia="黑体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line="560" w:lineRule="exact"/>
        <w:jc w:val="center"/>
        <w:textAlignment w:val="auto"/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  <w:t>五</w:t>
      </w: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章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  <w:t>鼓励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</w:rPr>
        <w:t>机构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  <w:t>集聚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第十二条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鼓励机构落户发展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对当年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新涵养的专业服务业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，根据区级综合贡献情况，经行业主管部门认定，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在落户、购租房方面给予资金补助支持。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第十三条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鼓励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机构稳定发展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。鼓励驻区专业服务业机构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长足</w:t>
      </w:r>
      <w:r>
        <w:rPr>
          <w:rFonts w:ascii="Times New Roman" w:hAnsi="Times New Roman" w:eastAsia="仿宋_GB2312"/>
          <w:sz w:val="32"/>
          <w:szCs w:val="32"/>
          <w:highlight w:val="none"/>
        </w:rPr>
        <w:t>发展，重点培育与区域定位相匹配的专业服务业机构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每年安排专项奖励资金，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运行稳定、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营业收入持续增长、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成长性较强、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区级综合贡献突出</w:t>
      </w:r>
      <w:r>
        <w:rPr>
          <w:rFonts w:ascii="Times New Roman" w:hAnsi="Times New Roman" w:eastAsia="仿宋_GB2312"/>
          <w:sz w:val="32"/>
          <w:szCs w:val="32"/>
          <w:highlight w:val="none"/>
        </w:rPr>
        <w:t>的专业服务业机构，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给予综合服务奖励。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第十四条  拓展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空间资源。鼓励专业服务业机构进驻西城区可利用产业空间。对低效楼宇围绕专业服务业发展进行改造提升、形成专业服务业主题楼宇、实现高效发展的，给予资金支持。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对支持项目特别重大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或特殊事项等情况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，由区政府按照“一事一议”方式给予支持。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60" w:lineRule="exact"/>
        <w:jc w:val="both"/>
        <w:textAlignment w:val="auto"/>
        <w:rPr>
          <w:rFonts w:ascii="Times New Roman" w:hAnsi="Times New Roman" w:eastAsia="黑体"/>
          <w:kern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60" w:lineRule="exact"/>
        <w:jc w:val="center"/>
        <w:textAlignment w:val="auto"/>
        <w:rPr>
          <w:rFonts w:ascii="Times New Roman" w:hAnsi="Times New Roman" w:eastAsia="黑体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  <w:highlight w:val="none"/>
          <w:lang w:eastAsia="zh-CN"/>
        </w:rPr>
        <w:t>六</w:t>
      </w:r>
      <w:r>
        <w:rPr>
          <w:rFonts w:ascii="Times New Roman" w:hAnsi="Times New Roman" w:eastAsia="黑体"/>
          <w:kern w:val="0"/>
          <w:sz w:val="32"/>
          <w:szCs w:val="32"/>
          <w:highlight w:val="none"/>
        </w:rPr>
        <w:t>章 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eastAsia="宋体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第十六条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本措施由区发改委牵头，各行业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部门、产业园区主管部门和相关商、协会组织共同推动实施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本措施采用年度集中申报、评审、报区政府审议方式实施。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获奖主体原则上所获得的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补助及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奖励额度不超过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兑现期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所做出的区级综合贡献。机构同一事项，同时符合本措施和我区其他支持政策的，按照从高从优原则给予支持，不重复奖励。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对于提供虚假材料、骗取有关补助或奖励的机构，一经查实，相关部门有权收回支持资金并根据国家相关法律、法规进行处理。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十九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本措施自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2023年5月 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起实行，有效期五年，由西城区发展和改革委会负责解释。《北京市西城区促进专业服务业高质量发展的若干措施》（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）同时废止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C0164"/>
    <w:rsid w:val="00487BE6"/>
    <w:rsid w:val="00755503"/>
    <w:rsid w:val="014F05CC"/>
    <w:rsid w:val="01CF5D63"/>
    <w:rsid w:val="04437D39"/>
    <w:rsid w:val="070E6A21"/>
    <w:rsid w:val="07633087"/>
    <w:rsid w:val="07AF59AA"/>
    <w:rsid w:val="07DF74C2"/>
    <w:rsid w:val="07FB6BCE"/>
    <w:rsid w:val="08564061"/>
    <w:rsid w:val="08A36C08"/>
    <w:rsid w:val="09552C2E"/>
    <w:rsid w:val="0A0C374B"/>
    <w:rsid w:val="0A45456B"/>
    <w:rsid w:val="0A791872"/>
    <w:rsid w:val="0BB76FBB"/>
    <w:rsid w:val="0D674569"/>
    <w:rsid w:val="0FC15953"/>
    <w:rsid w:val="1171085A"/>
    <w:rsid w:val="149579EE"/>
    <w:rsid w:val="18055A42"/>
    <w:rsid w:val="1A7F3B9A"/>
    <w:rsid w:val="1B6B305C"/>
    <w:rsid w:val="1BE0309A"/>
    <w:rsid w:val="1D4055A3"/>
    <w:rsid w:val="1DC45633"/>
    <w:rsid w:val="1E092720"/>
    <w:rsid w:val="1EBC7223"/>
    <w:rsid w:val="1FF46028"/>
    <w:rsid w:val="21F44E51"/>
    <w:rsid w:val="23B46096"/>
    <w:rsid w:val="250522D2"/>
    <w:rsid w:val="25385777"/>
    <w:rsid w:val="25665CFA"/>
    <w:rsid w:val="26053ECD"/>
    <w:rsid w:val="27BF0C32"/>
    <w:rsid w:val="28CB6223"/>
    <w:rsid w:val="294042AD"/>
    <w:rsid w:val="2965711C"/>
    <w:rsid w:val="296952A4"/>
    <w:rsid w:val="29F83417"/>
    <w:rsid w:val="2BA21AFC"/>
    <w:rsid w:val="2CF86072"/>
    <w:rsid w:val="2D874982"/>
    <w:rsid w:val="2DD86C97"/>
    <w:rsid w:val="2F7F3CA3"/>
    <w:rsid w:val="323C0B57"/>
    <w:rsid w:val="3295719E"/>
    <w:rsid w:val="33695698"/>
    <w:rsid w:val="34F33A94"/>
    <w:rsid w:val="35AA6047"/>
    <w:rsid w:val="35DA1ACD"/>
    <w:rsid w:val="3701412B"/>
    <w:rsid w:val="38677F23"/>
    <w:rsid w:val="38845F99"/>
    <w:rsid w:val="398609F2"/>
    <w:rsid w:val="3C200265"/>
    <w:rsid w:val="3C81199C"/>
    <w:rsid w:val="3E0C4765"/>
    <w:rsid w:val="3EE574DF"/>
    <w:rsid w:val="3FAB0AD7"/>
    <w:rsid w:val="402D4843"/>
    <w:rsid w:val="41874154"/>
    <w:rsid w:val="42BB40A3"/>
    <w:rsid w:val="434E21D8"/>
    <w:rsid w:val="435A2D18"/>
    <w:rsid w:val="448949C6"/>
    <w:rsid w:val="451C0164"/>
    <w:rsid w:val="457F7B26"/>
    <w:rsid w:val="47AA7F8E"/>
    <w:rsid w:val="47E30E2A"/>
    <w:rsid w:val="48C04788"/>
    <w:rsid w:val="491C00AE"/>
    <w:rsid w:val="49B9071E"/>
    <w:rsid w:val="4BB61204"/>
    <w:rsid w:val="4BD55183"/>
    <w:rsid w:val="4BDE7EEA"/>
    <w:rsid w:val="4CAD08E4"/>
    <w:rsid w:val="4D613449"/>
    <w:rsid w:val="4FD53F35"/>
    <w:rsid w:val="4FDC5CB6"/>
    <w:rsid w:val="51086852"/>
    <w:rsid w:val="53575C18"/>
    <w:rsid w:val="54944AFB"/>
    <w:rsid w:val="58C7109C"/>
    <w:rsid w:val="58E41616"/>
    <w:rsid w:val="5A8174B3"/>
    <w:rsid w:val="5BE90A99"/>
    <w:rsid w:val="5D0250D8"/>
    <w:rsid w:val="5EE46CD9"/>
    <w:rsid w:val="60203356"/>
    <w:rsid w:val="62837EF8"/>
    <w:rsid w:val="63BC5520"/>
    <w:rsid w:val="649668C1"/>
    <w:rsid w:val="65002102"/>
    <w:rsid w:val="67E42261"/>
    <w:rsid w:val="68586FB9"/>
    <w:rsid w:val="68707D17"/>
    <w:rsid w:val="6AA12B7B"/>
    <w:rsid w:val="6B850509"/>
    <w:rsid w:val="6C645FD1"/>
    <w:rsid w:val="6CCE7FBA"/>
    <w:rsid w:val="6DAD26DC"/>
    <w:rsid w:val="6F0422C1"/>
    <w:rsid w:val="71F65404"/>
    <w:rsid w:val="726A4482"/>
    <w:rsid w:val="7272489A"/>
    <w:rsid w:val="75147F90"/>
    <w:rsid w:val="77E91102"/>
    <w:rsid w:val="78EA0F6A"/>
    <w:rsid w:val="79E43DFA"/>
    <w:rsid w:val="7A660875"/>
    <w:rsid w:val="7AFC1909"/>
    <w:rsid w:val="7B09166F"/>
    <w:rsid w:val="7B6A5411"/>
    <w:rsid w:val="7C0B1640"/>
    <w:rsid w:val="7CC22643"/>
    <w:rsid w:val="7D8043FA"/>
    <w:rsid w:val="7DED5F5F"/>
    <w:rsid w:val="7E7C309D"/>
    <w:rsid w:val="7F87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atLeast"/>
      <w:ind w:firstLine="629"/>
    </w:pPr>
    <w:rPr>
      <w:rFonts w:eastAsia="宋体"/>
    </w:rPr>
  </w:style>
  <w:style w:type="paragraph" w:styleId="3">
    <w:name w:val="Normal Indent"/>
    <w:basedOn w:val="1"/>
    <w:unhideWhenUsed/>
    <w:qFormat/>
    <w:uiPriority w:val="99"/>
    <w:pPr>
      <w:spacing w:line="560" w:lineRule="exact"/>
      <w:ind w:firstLine="560"/>
    </w:pPr>
    <w:rPr>
      <w:rFonts w:eastAsia="仿宋_GB2312"/>
      <w:sz w:val="36"/>
      <w:szCs w:val="36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2023-05-05T06:06:00Z</dcterms:created>
  <dc:creator>NTKO</dc:creator>
  <cp:lastModifiedBy>NTKO</cp:lastModifiedBy>
  <cp:lastPrinted>2023-05-17T03:04:49Z</cp:lastPrinted>
  <dcterms:modified xsi:type="dcterms:W3CDTF">2023-05-17T03:07:19Z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