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宋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附件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8</w:t>
      </w:r>
    </w:p>
    <w:p>
      <w:pPr>
        <w:widowControl/>
        <w:spacing w:line="600" w:lineRule="exact"/>
        <w:jc w:val="center"/>
        <w:outlineLvl w:val="0"/>
        <w:rPr>
          <w:rFonts w:hint="eastAsia" w:ascii="方正小标宋简体" w:hAnsi="黑体" w:eastAsia="方正小标宋简体" w:cs="黑体"/>
          <w:b w:val="0"/>
          <w:bCs/>
          <w:kern w:val="36"/>
          <w:sz w:val="44"/>
          <w:szCs w:val="44"/>
        </w:rPr>
      </w:pPr>
      <w:r>
        <w:rPr>
          <w:rFonts w:hint="eastAsia" w:ascii="方正小标宋简体" w:hAnsi="黑体" w:eastAsia="方正小标宋简体" w:cs="黑体"/>
          <w:b w:val="0"/>
          <w:bCs/>
          <w:kern w:val="36"/>
          <w:sz w:val="44"/>
          <w:szCs w:val="44"/>
        </w:rPr>
        <w:t>西城区20</w:t>
      </w:r>
      <w:r>
        <w:rPr>
          <w:rFonts w:hint="eastAsia" w:ascii="方正小标宋简体" w:hAnsi="黑体" w:eastAsia="方正小标宋简体" w:cs="黑体"/>
          <w:b w:val="0"/>
          <w:bCs/>
          <w:kern w:val="36"/>
          <w:sz w:val="44"/>
          <w:szCs w:val="44"/>
          <w:lang w:val="en-US" w:eastAsia="zh-CN"/>
        </w:rPr>
        <w:t>22</w:t>
      </w:r>
      <w:r>
        <w:rPr>
          <w:rFonts w:hint="eastAsia" w:ascii="方正小标宋简体" w:hAnsi="黑体" w:eastAsia="方正小标宋简体" w:cs="黑体"/>
          <w:b w:val="0"/>
          <w:bCs/>
          <w:kern w:val="36"/>
          <w:sz w:val="44"/>
          <w:szCs w:val="44"/>
        </w:rPr>
        <w:t>年度延伸社区便民服务项目</w:t>
      </w:r>
    </w:p>
    <w:p>
      <w:pPr>
        <w:widowControl/>
        <w:spacing w:line="600" w:lineRule="exact"/>
        <w:jc w:val="center"/>
        <w:outlineLvl w:val="0"/>
        <w:rPr>
          <w:rFonts w:ascii="方正小标宋简体" w:hAnsi="黑体" w:eastAsia="方正小标宋简体" w:cs="黑体"/>
          <w:b w:val="0"/>
          <w:bCs/>
          <w:kern w:val="36"/>
          <w:sz w:val="44"/>
          <w:szCs w:val="44"/>
        </w:rPr>
      </w:pPr>
      <w:r>
        <w:rPr>
          <w:rFonts w:hint="eastAsia" w:ascii="方正小标宋简体" w:hAnsi="黑体" w:eastAsia="方正小标宋简体" w:cs="黑体"/>
          <w:b w:val="0"/>
          <w:bCs/>
          <w:kern w:val="36"/>
          <w:sz w:val="44"/>
          <w:szCs w:val="44"/>
        </w:rPr>
        <w:t>申报指南</w:t>
      </w:r>
    </w:p>
    <w:p>
      <w:pPr>
        <w:spacing w:line="600" w:lineRule="exact"/>
        <w:rPr>
          <w:rFonts w:ascii="仿宋_GB2312" w:hAnsi="宋体" w:eastAsia="仿宋_GB2312" w:cs="黑体"/>
          <w:sz w:val="30"/>
          <w:szCs w:val="30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一、支持方向</w:t>
      </w:r>
    </w:p>
    <w:p>
      <w:pPr>
        <w:spacing w:line="600" w:lineRule="exact"/>
        <w:ind w:firstLine="640" w:firstLineChars="200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支持</w:t>
      </w:r>
      <w:bookmarkStart w:id="0" w:name="OLE_LINK2"/>
      <w:r>
        <w:rPr>
          <w:rFonts w:hint="eastAsia" w:ascii="仿宋_GB2312" w:hAnsi="宋体" w:eastAsia="仿宋_GB2312" w:cs="黑体"/>
          <w:sz w:val="32"/>
          <w:szCs w:val="32"/>
          <w:lang w:eastAsia="zh-CN"/>
        </w:rPr>
        <w:t>传统商业设施提质</w:t>
      </w:r>
      <w:r>
        <w:rPr>
          <w:rFonts w:hint="eastAsia" w:ascii="仿宋_GB2312" w:hAnsi="宋体" w:eastAsia="仿宋_GB2312" w:cs="黑体"/>
          <w:sz w:val="32"/>
          <w:szCs w:val="32"/>
        </w:rPr>
        <w:t>升级</w:t>
      </w:r>
      <w:bookmarkEnd w:id="0"/>
      <w:r>
        <w:rPr>
          <w:rFonts w:hint="eastAsia" w:ascii="仿宋_GB2312" w:hAnsi="宋体" w:eastAsia="仿宋_GB2312" w:cs="黑体"/>
          <w:sz w:val="32"/>
          <w:szCs w:val="32"/>
        </w:rPr>
        <w:t>，延伸社区便民服务项目。支持社区周边现有</w:t>
      </w:r>
      <w:r>
        <w:rPr>
          <w:rFonts w:hint="eastAsia" w:ascii="仿宋_GB2312" w:hAnsi="宋体" w:eastAsia="仿宋_GB2312" w:cs="黑体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 w:cs="黑体"/>
          <w:sz w:val="32"/>
          <w:szCs w:val="32"/>
        </w:rPr>
        <w:t>百货</w:t>
      </w:r>
      <w:r>
        <w:rPr>
          <w:rFonts w:hint="eastAsia" w:ascii="仿宋_GB2312" w:hAnsi="宋体" w:eastAsia="仿宋_GB2312" w:cs="黑体"/>
          <w:sz w:val="32"/>
          <w:szCs w:val="32"/>
          <w:lang w:eastAsia="zh-CN"/>
        </w:rPr>
        <w:t>零售市场</w:t>
      </w:r>
      <w:r>
        <w:rPr>
          <w:rFonts w:hint="eastAsia" w:ascii="仿宋_GB2312" w:hAnsi="宋体" w:eastAsia="仿宋_GB2312" w:cs="黑体"/>
          <w:sz w:val="32"/>
          <w:szCs w:val="32"/>
        </w:rPr>
        <w:t>向综合全方位商品和服务的社区</w:t>
      </w:r>
      <w:r>
        <w:rPr>
          <w:rFonts w:hint="eastAsia" w:ascii="仿宋_GB2312" w:hAnsi="宋体" w:eastAsia="仿宋_GB2312" w:cs="黑体"/>
          <w:sz w:val="32"/>
          <w:szCs w:val="32"/>
          <w:lang w:eastAsia="zh-CN"/>
        </w:rPr>
        <w:t>购物广场</w:t>
      </w:r>
      <w:r>
        <w:rPr>
          <w:rFonts w:hint="eastAsia" w:ascii="仿宋_GB2312" w:hAnsi="宋体" w:eastAsia="仿宋_GB2312" w:cs="黑体"/>
          <w:sz w:val="32"/>
          <w:szCs w:val="32"/>
        </w:rPr>
        <w:t>转型发展。鼓励创新社区商业模式，建立服务绿色通道，为社区居民提供预约服务、上门服务等体验式服务。服务业态与功能应符合首都中心城区功能定位，符合便利化、规范化、品牌化、连锁化、集约化和智能化发展方向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二、支持内容</w:t>
      </w:r>
    </w:p>
    <w:p>
      <w:pPr>
        <w:spacing w:line="600" w:lineRule="exact"/>
        <w:ind w:firstLine="640" w:firstLineChars="200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对项目在20</w:t>
      </w:r>
      <w:r>
        <w:rPr>
          <w:rFonts w:hint="eastAsia" w:ascii="仿宋_GB2312" w:hAnsi="宋体" w:eastAsia="仿宋_GB2312" w:cs="黑体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黑体"/>
          <w:sz w:val="32"/>
          <w:szCs w:val="32"/>
        </w:rPr>
        <w:t>年</w:t>
      </w:r>
      <w:r>
        <w:rPr>
          <w:rFonts w:hint="eastAsia" w:ascii="仿宋_GB2312" w:hAnsi="宋体" w:eastAsia="仿宋_GB2312" w:cs="黑体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黑体"/>
          <w:sz w:val="32"/>
          <w:szCs w:val="32"/>
        </w:rPr>
        <w:t>月3</w:t>
      </w:r>
      <w:r>
        <w:rPr>
          <w:rFonts w:hint="eastAsia" w:ascii="仿宋_GB2312" w:hAnsi="宋体" w:eastAsia="仿宋_GB2312" w:cs="黑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黑体"/>
          <w:sz w:val="32"/>
          <w:szCs w:val="32"/>
        </w:rPr>
        <w:t>日前完成</w:t>
      </w:r>
      <w:r>
        <w:rPr>
          <w:rFonts w:hint="eastAsia" w:ascii="仿宋_GB2312" w:hAnsi="宋体" w:eastAsia="仿宋_GB2312" w:cs="黑体"/>
          <w:sz w:val="32"/>
          <w:szCs w:val="32"/>
        </w:rPr>
        <w:t>并开业的，相关证照齐全，相关投资建设票据齐全、有效。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三、支持条件</w:t>
      </w:r>
    </w:p>
    <w:p>
      <w:pPr>
        <w:spacing w:line="600" w:lineRule="exact"/>
        <w:ind w:firstLine="640" w:firstLineChars="200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1、项目经营面积达</w:t>
      </w:r>
      <w:r>
        <w:rPr>
          <w:rFonts w:hint="eastAsia" w:ascii="仿宋_GB2312" w:hAnsi="宋体" w:eastAsia="仿宋_GB2312" w:cs="黑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黑体"/>
          <w:sz w:val="32"/>
          <w:szCs w:val="32"/>
        </w:rPr>
        <w:t>000㎡以上，</w:t>
      </w:r>
      <w:r>
        <w:rPr>
          <w:rFonts w:hint="eastAsia" w:ascii="仿宋_GB2312" w:hAnsi="宋体" w:eastAsia="仿宋_GB2312" w:cs="黑体"/>
          <w:sz w:val="32"/>
          <w:szCs w:val="32"/>
        </w:rPr>
        <w:t>位于居住区周边，具有一定的人口规模，居民步行10-15分钟内可到达。</w:t>
      </w:r>
    </w:p>
    <w:p>
      <w:pPr>
        <w:spacing w:line="600" w:lineRule="exact"/>
        <w:ind w:firstLine="640" w:firstLineChars="200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2、具有固定营业场所，符合首都中心区城市建设规划要求，符合项目所属街道的生活性服务业空间规划。</w:t>
      </w:r>
    </w:p>
    <w:p>
      <w:pPr>
        <w:spacing w:line="600" w:lineRule="exact"/>
        <w:ind w:firstLine="640" w:firstLineChars="200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3、申报单位具有独立法人资格，能够统一招商、统一运营、统一管理、独立运作。</w:t>
      </w:r>
    </w:p>
    <w:p>
      <w:pPr>
        <w:spacing w:line="600" w:lineRule="exact"/>
        <w:ind w:firstLine="640" w:firstLineChars="200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4、项目需具有的工商执照、税务登记证、《餐饮服务许可证》、《食品经营许可证》等相关法律证照与资质齐全有效。</w:t>
      </w:r>
    </w:p>
    <w:p>
      <w:pPr>
        <w:spacing w:line="600" w:lineRule="exact"/>
        <w:ind w:firstLine="640" w:firstLineChars="200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5、具有良好的公共配套设施和经营环境。</w:t>
      </w:r>
    </w:p>
    <w:p>
      <w:pPr>
        <w:spacing w:line="600" w:lineRule="exact"/>
        <w:ind w:firstLine="640" w:firstLineChars="200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6、基本及扩展便民生活服务实体功能不少于13类。基本便民服务功能包括：蔬菜零售、便民早餐、便利店（超市）、洗染（洗衣代收点）、便民理发、家政服务、便民修理、末端配送、小物超市（专柜、专区、门店）；扩展便民服务功能包括：健康服务、养老服务、便民洗浴、便民储物、旅游服务、体育服务、文化服务、法律服务、</w:t>
      </w:r>
      <w:r>
        <w:rPr>
          <w:rFonts w:hint="eastAsia" w:ascii="仿宋_GB2312" w:hAnsi="宋体" w:eastAsia="仿宋_GB2312" w:cs="黑体"/>
          <w:sz w:val="32"/>
          <w:szCs w:val="32"/>
          <w:lang w:eastAsia="zh-CN"/>
        </w:rPr>
        <w:t>特色</w:t>
      </w:r>
      <w:r>
        <w:rPr>
          <w:rFonts w:hint="eastAsia" w:ascii="仿宋_GB2312" w:hAnsi="宋体" w:eastAsia="仿宋_GB2312" w:cs="黑体"/>
          <w:sz w:val="32"/>
          <w:szCs w:val="32"/>
        </w:rPr>
        <w:t>餐饮服务、教育培训服务</w:t>
      </w:r>
      <w:r>
        <w:rPr>
          <w:rFonts w:hint="eastAsia" w:ascii="仿宋_GB2312" w:hAnsi="宋体" w:eastAsia="仿宋_GB2312" w:cs="黑体"/>
          <w:sz w:val="32"/>
          <w:szCs w:val="32"/>
          <w:lang w:eastAsia="zh-CN"/>
        </w:rPr>
        <w:t>等</w:t>
      </w:r>
      <w:r>
        <w:rPr>
          <w:rFonts w:hint="eastAsia" w:ascii="仿宋_GB2312" w:hAnsi="宋体" w:eastAsia="仿宋_GB2312" w:cs="黑体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7、项目应能突出为周边社区居民提供整合品牌专卖、时尚餐饮、文体娱乐、教育培训等现代商业和文化休闲服务功能。</w:t>
      </w:r>
    </w:p>
    <w:p>
      <w:pPr>
        <w:spacing w:line="600" w:lineRule="exact"/>
        <w:ind w:firstLine="640" w:firstLineChars="200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8、品牌化、连锁化、规范化服务网点占比不低于80%。</w:t>
      </w:r>
    </w:p>
    <w:p>
      <w:pPr>
        <w:spacing w:line="600" w:lineRule="exact"/>
        <w:ind w:firstLine="640" w:firstLineChars="200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9、具有紧密结合本区域居民消费需求的精细化、特色化服务项目和服务品牌。优先支持具有智</w:t>
      </w:r>
      <w:bookmarkStart w:id="1" w:name="_GoBack"/>
      <w:bookmarkEnd w:id="1"/>
      <w:r>
        <w:rPr>
          <w:rFonts w:hint="eastAsia" w:ascii="仿宋_GB2312" w:hAnsi="宋体" w:eastAsia="仿宋_GB2312" w:cs="黑体"/>
          <w:sz w:val="32"/>
          <w:szCs w:val="32"/>
        </w:rPr>
        <w:t>慧商圈、为老服务、紧密服务社区等服务品牌的项目。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四、支持标准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1、对符合支持条件的项目，每家店按照不超过审定实际投资额50%的标准予以资金支持，且最高不超过</w:t>
      </w:r>
      <w:r>
        <w:rPr>
          <w:rFonts w:hint="eastAsia" w:ascii="仿宋_GB2312" w:hAnsi="宋体" w:eastAsia="仿宋_GB2312" w:cs="黑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黑体"/>
          <w:sz w:val="32"/>
          <w:szCs w:val="32"/>
        </w:rPr>
        <w:t>00万元。</w:t>
      </w:r>
    </w:p>
    <w:p>
      <w:pPr>
        <w:spacing w:line="600" w:lineRule="exact"/>
        <w:ind w:firstLine="640" w:firstLineChars="200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2、申请支持的项目房屋租期应达3年以上，且需承诺在租期内不得改变用途，否则应当退还已获得的资金。</w:t>
      </w:r>
    </w:p>
    <w:p>
      <w:pPr>
        <w:spacing w:line="600" w:lineRule="exact"/>
        <w:ind w:firstLine="640" w:firstLineChars="200"/>
        <w:rPr>
          <w:rFonts w:ascii="仿宋_GB2312" w:hAnsi="宋体" w:eastAsia="仿宋_GB2312" w:cs="黑体"/>
          <w:sz w:val="32"/>
          <w:szCs w:val="32"/>
        </w:rPr>
      </w:pPr>
      <w:r>
        <w:rPr>
          <w:rFonts w:hint="eastAsia" w:ascii="仿宋_GB2312" w:hAnsi="宋体" w:eastAsia="仿宋_GB2312" w:cs="黑体"/>
          <w:sz w:val="32"/>
          <w:szCs w:val="32"/>
        </w:rPr>
        <w:t>3、资金主要用于主要支持整体规划、交流、休闲空间，风貌景观改造、无障碍设施等公共空间设施改造，公共服务功能完善、业态和经营结构调整等与项目建设运营直接相关的支出。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、项目经第三方评审后，对延伸社区便民服务项目采取分阶段拨付资金的模式，支持比例为第一年拨付应补助金额的60%，第二年拨付应补助金额的20%，第三年拨付应补助金额的20%。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BF"/>
    <w:rsid w:val="0012488F"/>
    <w:rsid w:val="001D31BF"/>
    <w:rsid w:val="00356B46"/>
    <w:rsid w:val="003E4486"/>
    <w:rsid w:val="005353C4"/>
    <w:rsid w:val="00730507"/>
    <w:rsid w:val="00F74F08"/>
    <w:rsid w:val="2C7C6DC5"/>
    <w:rsid w:val="39A57AB7"/>
    <w:rsid w:val="3AC95584"/>
    <w:rsid w:val="45D07826"/>
    <w:rsid w:val="54FF4F8F"/>
    <w:rsid w:val="680E6EB0"/>
    <w:rsid w:val="69EC5EAF"/>
    <w:rsid w:val="7C1E6C38"/>
    <w:rsid w:val="7C6A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852</Characters>
  <Lines>7</Lines>
  <Paragraphs>1</Paragraphs>
  <TotalTime>0</TotalTime>
  <ScaleCrop>false</ScaleCrop>
  <LinksUpToDate>false</LinksUpToDate>
  <CharactersWithSpaces>1000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2019-11-04T04:48:00Z</dcterms:created>
  <dc:creator>lenovo</dc:creator>
  <cp:lastModifiedBy>Ace</cp:lastModifiedBy>
  <dcterms:modified xsi:type="dcterms:W3CDTF">2023-05-18T08:41:06Z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