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FD563" w14:textId="04465804" w:rsidR="00661DAB" w:rsidRPr="00661DAB" w:rsidRDefault="00661DAB" w:rsidP="00661DAB">
      <w:pPr>
        <w:spacing w:line="560" w:lineRule="exact"/>
        <w:jc w:val="left"/>
        <w:rPr>
          <w:rFonts w:ascii="黑体" w:eastAsia="黑体" w:hAnsi="黑体"/>
          <w:sz w:val="32"/>
        </w:rPr>
      </w:pPr>
      <w:bookmarkStart w:id="0" w:name="_Toc140157224"/>
      <w:r w:rsidRPr="00BE1801">
        <w:rPr>
          <w:rFonts w:ascii="黑体" w:eastAsia="黑体" w:hAnsi="黑体"/>
          <w:sz w:val="32"/>
        </w:rPr>
        <w:t>附件</w:t>
      </w:r>
      <w:r>
        <w:rPr>
          <w:rFonts w:ascii="黑体" w:eastAsia="黑体" w:hAnsi="黑体"/>
          <w:sz w:val="32"/>
        </w:rPr>
        <w:t>2</w:t>
      </w:r>
    </w:p>
    <w:p w14:paraId="2844DACF" w14:textId="3E5A905D" w:rsidR="008C6C7F" w:rsidRPr="00B415A8" w:rsidRDefault="00661DAB">
      <w:pPr>
        <w:pStyle w:val="aa"/>
        <w:spacing w:before="0" w:after="0" w:line="560" w:lineRule="exact"/>
        <w:rPr>
          <w:rFonts w:ascii="方正小标宋简体" w:eastAsia="方正小标宋简体"/>
          <w:b w:val="0"/>
          <w:bCs w:val="0"/>
          <w:sz w:val="36"/>
          <w:szCs w:val="36"/>
        </w:rPr>
      </w:pPr>
      <w:r w:rsidRPr="00B415A8">
        <w:rPr>
          <w:rFonts w:ascii="方正小标宋简体" w:eastAsia="方正小标宋简体" w:hint="eastAsia"/>
          <w:b w:val="0"/>
          <w:bCs w:val="0"/>
          <w:sz w:val="36"/>
          <w:szCs w:val="36"/>
        </w:rPr>
        <w:t>西城区促进专业服务业高质量发展的</w:t>
      </w:r>
    </w:p>
    <w:p w14:paraId="748B0D37" w14:textId="5C72E225" w:rsidR="008C6C7F" w:rsidRPr="00F230FA" w:rsidRDefault="00000000">
      <w:pPr>
        <w:pStyle w:val="aa"/>
        <w:spacing w:before="0" w:after="0" w:line="560" w:lineRule="exact"/>
        <w:rPr>
          <w:rFonts w:ascii="黑体" w:eastAsia="黑体" w:hAnsi="黑体"/>
          <w:b w:val="0"/>
          <w:bCs w:val="0"/>
          <w:sz w:val="36"/>
          <w:szCs w:val="36"/>
        </w:rPr>
      </w:pPr>
      <w:r w:rsidRPr="00B415A8">
        <w:rPr>
          <w:rFonts w:ascii="方正小标宋简体" w:eastAsia="方正小标宋简体" w:hint="eastAsia"/>
          <w:b w:val="0"/>
          <w:bCs w:val="0"/>
          <w:sz w:val="36"/>
          <w:szCs w:val="36"/>
        </w:rPr>
        <w:t>若干措施</w:t>
      </w:r>
    </w:p>
    <w:p w14:paraId="1586E4E7" w14:textId="77777777" w:rsidR="008C6C7F" w:rsidRDefault="008C6C7F">
      <w:pPr>
        <w:autoSpaceDE w:val="0"/>
        <w:autoSpaceDN w:val="0"/>
        <w:adjustRightInd w:val="0"/>
        <w:spacing w:line="560" w:lineRule="exact"/>
        <w:jc w:val="center"/>
        <w:rPr>
          <w:rFonts w:ascii="仿宋_GB2312" w:eastAsia="仿宋_GB2312" w:hAnsi="Times New Roman"/>
          <w:kern w:val="0"/>
          <w:sz w:val="32"/>
          <w:szCs w:val="32"/>
        </w:rPr>
      </w:pPr>
    </w:p>
    <w:p w14:paraId="73083760" w14:textId="77777777" w:rsidR="008C6C7F" w:rsidRDefault="00000000">
      <w:pPr>
        <w:pStyle w:val="1"/>
        <w:spacing w:before="0" w:after="0" w:line="360" w:lineRule="auto"/>
        <w:jc w:val="center"/>
        <w:rPr>
          <w:rFonts w:ascii="黑体" w:eastAsia="黑体" w:hAnsi="黑体"/>
          <w:b w:val="0"/>
          <w:bCs w:val="0"/>
          <w:sz w:val="32"/>
          <w:szCs w:val="32"/>
        </w:rPr>
      </w:pPr>
      <w:r>
        <w:rPr>
          <w:rFonts w:ascii="黑体" w:eastAsia="黑体" w:hAnsi="黑体" w:hint="eastAsia"/>
          <w:b w:val="0"/>
          <w:bCs w:val="0"/>
          <w:sz w:val="32"/>
          <w:szCs w:val="32"/>
        </w:rPr>
        <w:t>第一章 总则</w:t>
      </w:r>
    </w:p>
    <w:p w14:paraId="1D414654" w14:textId="77777777" w:rsidR="008C6C7F" w:rsidRDefault="00000000">
      <w:pPr>
        <w:autoSpaceDE w:val="0"/>
        <w:autoSpaceDN w:val="0"/>
        <w:adjustRightIn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第一条  为推动产业融合创新发展，促进西城区专业服务业发展能级提升，发挥专业服务业对赋能高质量发展、促进价值链高端产业集聚的作用，特制定本措施。</w:t>
      </w:r>
    </w:p>
    <w:p w14:paraId="6C33C015" w14:textId="77777777" w:rsidR="008C6C7F" w:rsidRDefault="00000000">
      <w:pPr>
        <w:autoSpaceDE w:val="0"/>
        <w:autoSpaceDN w:val="0"/>
        <w:adjustRightIn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第二条  本措施支持的专业服务业机构应符合首都核心区功能定位，具有高品质专业服务水平，彰显较强的国际影响力、品牌效应和跨领域融合渗透能力，具备行业引领性、示范性、带动性。本措施所称的专业服务业机构原则上应在西城区办理税务登记手续，且依法合规稳定运营，具体包括：法律服务、会计、审计及税务服务、咨询与评估服务、人力资源服务、信用服务、广告服务、知识产权服务、招商中介服务、协同服务平台等市场主体。</w:t>
      </w:r>
    </w:p>
    <w:p w14:paraId="185CCEFB" w14:textId="77777777" w:rsidR="008C6C7F" w:rsidRDefault="008C6C7F">
      <w:pPr>
        <w:pStyle w:val="2"/>
      </w:pPr>
    </w:p>
    <w:p w14:paraId="3B7D35A5" w14:textId="77777777" w:rsidR="008C6C7F" w:rsidRDefault="00000000">
      <w:pPr>
        <w:pStyle w:val="1"/>
        <w:spacing w:before="0" w:after="0" w:line="360" w:lineRule="auto"/>
        <w:jc w:val="center"/>
        <w:rPr>
          <w:rFonts w:ascii="黑体" w:eastAsia="黑体" w:hAnsi="黑体"/>
          <w:b w:val="0"/>
          <w:bCs w:val="0"/>
          <w:sz w:val="32"/>
          <w:szCs w:val="32"/>
        </w:rPr>
      </w:pPr>
      <w:r>
        <w:rPr>
          <w:rFonts w:ascii="黑体" w:eastAsia="黑体" w:hAnsi="黑体" w:hint="eastAsia"/>
          <w:b w:val="0"/>
          <w:bCs w:val="0"/>
          <w:sz w:val="32"/>
          <w:szCs w:val="32"/>
        </w:rPr>
        <w:t>第二章  促进协同合作</w:t>
      </w:r>
    </w:p>
    <w:p w14:paraId="4D7FD933" w14:textId="77777777" w:rsidR="008C6C7F" w:rsidRDefault="00000000">
      <w:pPr>
        <w:autoSpaceDE w:val="0"/>
        <w:autoSpaceDN w:val="0"/>
        <w:adjustRightInd w:val="0"/>
        <w:spacing w:line="560" w:lineRule="exact"/>
        <w:ind w:firstLineChars="200" w:firstLine="640"/>
        <w:rPr>
          <w:rFonts w:ascii="Times New Roman" w:eastAsia="仿宋_GB2312" w:hAnsi="Times New Roman"/>
          <w:kern w:val="0"/>
          <w:sz w:val="32"/>
          <w:szCs w:val="32"/>
        </w:rPr>
      </w:pPr>
      <w:r>
        <w:rPr>
          <w:rFonts w:eastAsia="仿宋_GB2312" w:hint="eastAsia"/>
          <w:kern w:val="0"/>
          <w:sz w:val="32"/>
          <w:szCs w:val="32"/>
        </w:rPr>
        <w:t>第三条</w:t>
      </w:r>
      <w:r>
        <w:rPr>
          <w:rFonts w:eastAsia="仿宋_GB2312"/>
          <w:kern w:val="0"/>
          <w:sz w:val="32"/>
          <w:szCs w:val="32"/>
        </w:rPr>
        <w:t xml:space="preserve">  </w:t>
      </w:r>
      <w:r>
        <w:rPr>
          <w:rFonts w:eastAsia="仿宋_GB2312" w:hint="eastAsia"/>
          <w:kern w:val="0"/>
          <w:sz w:val="32"/>
          <w:szCs w:val="32"/>
        </w:rPr>
        <w:t>搭建专业服务合作平台。选取具有高品质服务水平的专业机构组成“专业服务团”，建立驻区企业与高品质专业服务机构双向沟通平台，举办发布会、论坛、专业培训等活动。利用“专业服务团”服务合力优势，向驻区企业提供上市辅导、管理提升、市场拓展等多元化支持，促进政府、企业、专业服务业机构的协同合作。</w:t>
      </w:r>
    </w:p>
    <w:p w14:paraId="3CBC66B3" w14:textId="77777777" w:rsidR="008C6C7F" w:rsidRDefault="00000000">
      <w:pPr>
        <w:autoSpaceDE w:val="0"/>
        <w:autoSpaceDN w:val="0"/>
        <w:adjustRightInd w:val="0"/>
        <w:spacing w:line="560" w:lineRule="exact"/>
        <w:ind w:firstLineChars="200" w:firstLine="640"/>
        <w:rPr>
          <w:rFonts w:eastAsia="仿宋_GB2312"/>
          <w:kern w:val="0"/>
          <w:sz w:val="32"/>
          <w:szCs w:val="32"/>
        </w:rPr>
      </w:pPr>
      <w:r>
        <w:rPr>
          <w:rFonts w:eastAsia="仿宋_GB2312" w:hint="eastAsia"/>
          <w:kern w:val="0"/>
          <w:sz w:val="32"/>
          <w:szCs w:val="32"/>
        </w:rPr>
        <w:lastRenderedPageBreak/>
        <w:t>第四条</w:t>
      </w:r>
      <w:r>
        <w:rPr>
          <w:rFonts w:eastAsia="仿宋_GB2312"/>
          <w:kern w:val="0"/>
          <w:sz w:val="32"/>
          <w:szCs w:val="32"/>
        </w:rPr>
        <w:t xml:space="preserve">  </w:t>
      </w:r>
      <w:r>
        <w:rPr>
          <w:rFonts w:eastAsia="仿宋_GB2312" w:hint="eastAsia"/>
          <w:kern w:val="0"/>
          <w:sz w:val="32"/>
          <w:szCs w:val="32"/>
        </w:rPr>
        <w:t>鼓励行业跨领域联盟。鼓励建立跨领域多资质的综合性专业服务机制，鼓励组建服务联盟，培育形成全过程、全链条、跨领域的综合性专业服务业行业。</w:t>
      </w:r>
    </w:p>
    <w:p w14:paraId="22BCAD75" w14:textId="77777777" w:rsidR="008C6C7F" w:rsidRDefault="00000000">
      <w:pPr>
        <w:autoSpaceDE w:val="0"/>
        <w:autoSpaceDN w:val="0"/>
        <w:adjustRightInd w:val="0"/>
        <w:spacing w:line="560" w:lineRule="exact"/>
        <w:ind w:firstLineChars="200" w:firstLine="640"/>
        <w:rPr>
          <w:rFonts w:eastAsia="仿宋_GB2312"/>
          <w:kern w:val="0"/>
          <w:sz w:val="32"/>
          <w:szCs w:val="32"/>
        </w:rPr>
      </w:pPr>
      <w:r>
        <w:rPr>
          <w:rFonts w:eastAsia="仿宋_GB2312" w:hint="eastAsia"/>
          <w:kern w:val="0"/>
          <w:sz w:val="32"/>
          <w:szCs w:val="32"/>
        </w:rPr>
        <w:t>第五条</w:t>
      </w:r>
      <w:r>
        <w:rPr>
          <w:rFonts w:eastAsia="仿宋_GB2312"/>
          <w:kern w:val="0"/>
          <w:sz w:val="32"/>
          <w:szCs w:val="32"/>
        </w:rPr>
        <w:t xml:space="preserve">  </w:t>
      </w:r>
      <w:r>
        <w:rPr>
          <w:rFonts w:eastAsia="仿宋_GB2312" w:hint="eastAsia"/>
          <w:kern w:val="0"/>
          <w:sz w:val="32"/>
          <w:szCs w:val="32"/>
        </w:rPr>
        <w:t>支持加强品牌建设。依托国家金融管理中心、国家级金融科技示范区资源优势，借助金融街论坛、全球金融科技大会等高端交流平台，鼓励打造国际级、国家级专业服务高端品牌。支持举办各类具有较强影响力的国际、国家级博览会、论坛、发布及行业交流活动，提升品牌影响力。</w:t>
      </w:r>
    </w:p>
    <w:p w14:paraId="3B571F78" w14:textId="77777777" w:rsidR="008C6C7F" w:rsidRDefault="008C6C7F">
      <w:pPr>
        <w:autoSpaceDE w:val="0"/>
        <w:autoSpaceDN w:val="0"/>
        <w:adjustRightInd w:val="0"/>
        <w:spacing w:line="560" w:lineRule="exact"/>
        <w:jc w:val="center"/>
        <w:rPr>
          <w:rFonts w:ascii="仿宋_GB2312" w:eastAsia="仿宋_GB2312" w:hAnsi="Times New Roman"/>
          <w:kern w:val="0"/>
          <w:sz w:val="32"/>
          <w:szCs w:val="32"/>
        </w:rPr>
      </w:pPr>
    </w:p>
    <w:p w14:paraId="185F20C1" w14:textId="77777777" w:rsidR="008C6C7F" w:rsidRDefault="00000000">
      <w:pPr>
        <w:pStyle w:val="1"/>
        <w:spacing w:before="0" w:after="0" w:line="360" w:lineRule="auto"/>
        <w:jc w:val="center"/>
        <w:rPr>
          <w:rFonts w:ascii="黑体" w:eastAsia="黑体" w:hAnsi="黑体"/>
          <w:b w:val="0"/>
          <w:bCs w:val="0"/>
          <w:sz w:val="32"/>
          <w:szCs w:val="32"/>
        </w:rPr>
      </w:pPr>
      <w:r>
        <w:rPr>
          <w:rFonts w:ascii="黑体" w:eastAsia="黑体" w:hAnsi="黑体" w:hint="eastAsia"/>
          <w:b w:val="0"/>
          <w:bCs w:val="0"/>
          <w:sz w:val="32"/>
          <w:szCs w:val="32"/>
        </w:rPr>
        <w:t>第三章</w:t>
      </w:r>
      <w:r>
        <w:rPr>
          <w:rFonts w:ascii="Calibri" w:eastAsia="黑体" w:hAnsi="Calibri" w:cs="Calibri"/>
          <w:b w:val="0"/>
          <w:bCs w:val="0"/>
          <w:sz w:val="32"/>
          <w:szCs w:val="32"/>
        </w:rPr>
        <w:t> </w:t>
      </w:r>
      <w:r>
        <w:rPr>
          <w:rFonts w:ascii="黑体" w:eastAsia="黑体" w:hAnsi="黑体" w:hint="eastAsia"/>
          <w:b w:val="0"/>
          <w:bCs w:val="0"/>
          <w:sz w:val="32"/>
          <w:szCs w:val="32"/>
        </w:rPr>
        <w:t xml:space="preserve"> 支持业务拓展</w:t>
      </w:r>
    </w:p>
    <w:p w14:paraId="14783DA5" w14:textId="77777777" w:rsidR="008C6C7F" w:rsidRDefault="00000000">
      <w:pPr>
        <w:pStyle w:val="a9"/>
        <w:spacing w:before="0" w:beforeAutospacing="0" w:after="0" w:afterAutospacing="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第六条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支持开展上市服务业务。围绕企业</w:t>
      </w:r>
      <w:r>
        <w:rPr>
          <w:rFonts w:ascii="Times New Roman" w:eastAsia="仿宋_GB2312" w:hAnsi="Times New Roman" w:cs="Times New Roman"/>
          <w:sz w:val="32"/>
          <w:szCs w:val="32"/>
        </w:rPr>
        <w:t>IPO</w:t>
      </w:r>
      <w:r>
        <w:rPr>
          <w:rFonts w:ascii="Times New Roman" w:eastAsia="仿宋_GB2312" w:hAnsi="Times New Roman" w:cs="Times New Roman" w:hint="eastAsia"/>
          <w:sz w:val="32"/>
          <w:szCs w:val="32"/>
        </w:rPr>
        <w:t>、并购重组、增资扩股等服务需求，鼓励法律、会计、审计、咨询、评估等领域专业机构提供专业服务，助力企业更加有效利用资本市场。</w:t>
      </w:r>
    </w:p>
    <w:p w14:paraId="63E198E3" w14:textId="77777777" w:rsidR="008C6C7F" w:rsidRDefault="00000000">
      <w:pPr>
        <w:pStyle w:val="a9"/>
        <w:spacing w:before="0" w:beforeAutospacing="0" w:after="0" w:afterAutospacing="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支持拓展涉外业务。鼓励专业服务业机构开展涉外业务，承接国际项目，提高国际服务市场竞争力，按照年度涉外业务实际收入的</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比例给予机构奖励，单家机构年度奖励金额不超过人民币</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万元（含）。</w:t>
      </w:r>
    </w:p>
    <w:p w14:paraId="60B33446" w14:textId="77777777" w:rsidR="008C6C7F" w:rsidRDefault="00000000">
      <w:pPr>
        <w:autoSpaceDE w:val="0"/>
        <w:autoSpaceDN w:val="0"/>
        <w:adjustRightInd w:val="0"/>
        <w:spacing w:line="560" w:lineRule="exact"/>
        <w:ind w:firstLineChars="200" w:firstLine="640"/>
        <w:rPr>
          <w:rFonts w:ascii="Times New Roman" w:eastAsia="仿宋_GB2312" w:hAnsi="Times New Roman"/>
          <w:kern w:val="0"/>
          <w:sz w:val="32"/>
          <w:szCs w:val="32"/>
        </w:rPr>
      </w:pPr>
      <w:r>
        <w:rPr>
          <w:rFonts w:eastAsia="仿宋_GB2312" w:hint="eastAsia"/>
          <w:kern w:val="0"/>
          <w:sz w:val="32"/>
          <w:szCs w:val="32"/>
        </w:rPr>
        <w:t>第八条</w:t>
      </w:r>
      <w:r>
        <w:rPr>
          <w:rFonts w:eastAsia="仿宋_GB2312"/>
          <w:kern w:val="0"/>
          <w:sz w:val="32"/>
          <w:szCs w:val="32"/>
        </w:rPr>
        <w:t xml:space="preserve">  </w:t>
      </w:r>
      <w:r>
        <w:rPr>
          <w:rFonts w:eastAsia="仿宋_GB2312" w:hint="eastAsia"/>
          <w:kern w:val="0"/>
          <w:sz w:val="32"/>
          <w:szCs w:val="32"/>
        </w:rPr>
        <w:t>提升政府购买服务品质。按照进一步深化政府采购制度改革的要求，提升政府采购信息公开共享水平，逐步加大政府购买高品质专业服务力度。</w:t>
      </w:r>
    </w:p>
    <w:p w14:paraId="55E94C47" w14:textId="77777777" w:rsidR="008C6C7F" w:rsidRDefault="008C6C7F">
      <w:pPr>
        <w:pStyle w:val="a9"/>
        <w:spacing w:before="0" w:beforeAutospacing="0" w:after="0" w:afterAutospacing="0" w:line="560" w:lineRule="exact"/>
        <w:jc w:val="both"/>
        <w:rPr>
          <w:rFonts w:ascii="仿宋_GB2312" w:eastAsia="仿宋_GB2312" w:hAnsi="Times New Roman" w:cs="Times New Roman"/>
          <w:sz w:val="32"/>
          <w:szCs w:val="32"/>
        </w:rPr>
      </w:pPr>
    </w:p>
    <w:p w14:paraId="72201A61" w14:textId="77777777" w:rsidR="008C6C7F" w:rsidRDefault="00000000">
      <w:pPr>
        <w:pStyle w:val="1"/>
        <w:spacing w:before="0" w:after="0" w:line="360" w:lineRule="auto"/>
        <w:jc w:val="center"/>
        <w:rPr>
          <w:rFonts w:ascii="黑体" w:eastAsia="黑体" w:hAnsi="黑体"/>
          <w:b w:val="0"/>
          <w:bCs w:val="0"/>
          <w:sz w:val="32"/>
          <w:szCs w:val="32"/>
        </w:rPr>
      </w:pPr>
      <w:r>
        <w:rPr>
          <w:rFonts w:ascii="黑体" w:eastAsia="黑体" w:hAnsi="黑体" w:hint="eastAsia"/>
          <w:b w:val="0"/>
          <w:bCs w:val="0"/>
          <w:sz w:val="32"/>
          <w:szCs w:val="32"/>
        </w:rPr>
        <w:t>第四章  提高专业化水平</w:t>
      </w:r>
    </w:p>
    <w:p w14:paraId="54A0EC3B" w14:textId="77777777" w:rsidR="008C6C7F" w:rsidRDefault="00000000">
      <w:pPr>
        <w:autoSpaceDE w:val="0"/>
        <w:autoSpaceDN w:val="0"/>
        <w:adjustRightInd w:val="0"/>
        <w:spacing w:line="560" w:lineRule="exact"/>
        <w:ind w:firstLineChars="200" w:firstLine="640"/>
        <w:rPr>
          <w:rFonts w:ascii="Times New Roman" w:eastAsia="仿宋_GB2312" w:hAnsi="Times New Roman"/>
          <w:sz w:val="32"/>
          <w:szCs w:val="32"/>
        </w:rPr>
      </w:pPr>
      <w:r>
        <w:rPr>
          <w:rFonts w:eastAsia="仿宋_GB2312" w:hint="eastAsia"/>
          <w:sz w:val="32"/>
          <w:szCs w:val="32"/>
        </w:rPr>
        <w:t>第九条</w:t>
      </w:r>
      <w:r>
        <w:rPr>
          <w:rFonts w:eastAsia="仿宋_GB2312"/>
          <w:sz w:val="32"/>
          <w:szCs w:val="32"/>
        </w:rPr>
        <w:t xml:space="preserve">  </w:t>
      </w:r>
      <w:r>
        <w:rPr>
          <w:rFonts w:eastAsia="仿宋_GB2312" w:hint="eastAsia"/>
          <w:sz w:val="32"/>
          <w:szCs w:val="32"/>
        </w:rPr>
        <w:t>鼓励机构参与创优评先。对政策发布后首次获</w:t>
      </w:r>
      <w:r>
        <w:rPr>
          <w:rFonts w:eastAsia="仿宋_GB2312" w:hint="eastAsia"/>
          <w:sz w:val="32"/>
          <w:szCs w:val="32"/>
        </w:rPr>
        <w:lastRenderedPageBreak/>
        <w:t>得司法部门评定为“全国优秀律师事务所”、获得中国注册会计师协会评定列为“全国综合评价前百家会计师事务所”、获得中国注册税务师协会评定列为“年度经营收入前百家税务师事务所”、获得中国资产评估协会评定列为“全国综合得分前百家资产评估机构”、获得国家人力资源社保部门认定为“全国人力资源诚信服务示范机构”等其他国家级荣誉称号的专业服务业机构，给予最高人民</w:t>
      </w:r>
      <w:r>
        <w:rPr>
          <w:rFonts w:ascii="Times New Roman" w:eastAsia="仿宋_GB2312" w:hAnsi="Times New Roman" w:hint="eastAsia"/>
          <w:kern w:val="0"/>
          <w:sz w:val="32"/>
          <w:szCs w:val="32"/>
        </w:rPr>
        <w:t>币</w:t>
      </w:r>
      <w:r>
        <w:rPr>
          <w:rFonts w:ascii="Times New Roman" w:eastAsia="仿宋_GB2312" w:hAnsi="Times New Roman"/>
          <w:kern w:val="0"/>
          <w:sz w:val="32"/>
          <w:szCs w:val="32"/>
        </w:rPr>
        <w:t>20</w:t>
      </w:r>
      <w:r>
        <w:rPr>
          <w:rFonts w:ascii="Times New Roman" w:eastAsia="仿宋_GB2312" w:hAnsi="Times New Roman" w:hint="eastAsia"/>
          <w:kern w:val="0"/>
          <w:sz w:val="32"/>
          <w:szCs w:val="32"/>
        </w:rPr>
        <w:t>万</w:t>
      </w:r>
      <w:r>
        <w:rPr>
          <w:rFonts w:eastAsia="仿宋_GB2312" w:hint="eastAsia"/>
          <w:sz w:val="32"/>
          <w:szCs w:val="32"/>
        </w:rPr>
        <w:t>元（含）的资金奖励。</w:t>
      </w:r>
    </w:p>
    <w:p w14:paraId="3C9369FA" w14:textId="77777777" w:rsidR="008C6C7F" w:rsidRDefault="00000000">
      <w:pPr>
        <w:pStyle w:val="a9"/>
        <w:spacing w:before="0" w:beforeAutospacing="0" w:after="0" w:afterAutospacing="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支持标准制定。鼓励专业服务业机构探索服务新路径，对主导、参与制定且在起草单位排名前三名的专业服务的国际标准、国家标准、行业标准、团体标准的机构，分别给予一次性人民币</w:t>
      </w:r>
      <w:r>
        <w:rPr>
          <w:rFonts w:ascii="Times New Roman" w:eastAsia="仿宋_GB2312" w:hAnsi="Times New Roman" w:cs="Times New Roman"/>
          <w:sz w:val="32"/>
          <w:szCs w:val="32"/>
        </w:rPr>
        <w:t>30</w:t>
      </w:r>
      <w:r>
        <w:rPr>
          <w:rFonts w:ascii="Times New Roman" w:eastAsia="仿宋_GB2312" w:hAnsi="Times New Roman" w:cs="Times New Roman" w:hint="eastAsia"/>
          <w:sz w:val="32"/>
          <w:szCs w:val="32"/>
        </w:rPr>
        <w:t>万元、</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万元、</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万元、</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万元的补助。系列标准按一个标准给予支持，</w:t>
      </w:r>
      <w:r>
        <w:rPr>
          <w:rFonts w:ascii="Times New Roman" w:eastAsia="仿宋_GB2312" w:hAnsi="Times New Roman" w:cs="Times New Roman"/>
          <w:sz w:val="32"/>
          <w:szCs w:val="32"/>
        </w:rPr>
        <w:t> </w:t>
      </w:r>
      <w:r>
        <w:rPr>
          <w:rFonts w:ascii="Times New Roman" w:eastAsia="仿宋_GB2312" w:hAnsi="Times New Roman" w:cs="Times New Roman" w:hint="eastAsia"/>
          <w:sz w:val="32"/>
          <w:szCs w:val="32"/>
        </w:rPr>
        <w:t>同一机构年度标准制定补助资金累计不超过人民币</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万元（含）。</w:t>
      </w:r>
    </w:p>
    <w:p w14:paraId="7E556DCA" w14:textId="77777777" w:rsidR="008C6C7F" w:rsidRDefault="00000000">
      <w:pPr>
        <w:pStyle w:val="a9"/>
        <w:spacing w:before="0" w:beforeAutospacing="0" w:after="0" w:afterAutospacing="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第十一条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支持人才专业化发展。为国际化专业服务人</w:t>
      </w:r>
      <w:r>
        <w:rPr>
          <w:rFonts w:ascii="仿宋_GB2312" w:eastAsia="仿宋_GB2312" w:hAnsi="仿宋_GB2312" w:cs="仿宋_GB2312" w:hint="eastAsia"/>
          <w:sz w:val="32"/>
          <w:szCs w:val="32"/>
        </w:rPr>
        <w:t>士开通优秀人才引进“绿色通道”；推荐优秀人才参加正高级</w:t>
      </w:r>
      <w:r>
        <w:rPr>
          <w:rFonts w:ascii="Times New Roman" w:eastAsia="仿宋_GB2312" w:hAnsi="Times New Roman" w:cs="Times New Roman" w:hint="eastAsia"/>
          <w:sz w:val="32"/>
          <w:szCs w:val="32"/>
        </w:rPr>
        <w:t>经济师、正高级会计师等各类专业技术资格评价；协助专业服务业机构优秀人才参与国家、北京市、西城区人才评选表彰和人才项目。</w:t>
      </w:r>
      <w:r>
        <w:rPr>
          <w:rFonts w:ascii="Times New Roman" w:eastAsia="仿宋_GB2312" w:hAnsi="Times New Roman" w:hint="eastAsia"/>
          <w:sz w:val="32"/>
          <w:szCs w:val="32"/>
        </w:rPr>
        <w:t>拓展专业服务业高端人才参政议政渠道，积极发挥专业服务人才社会价值。</w:t>
      </w:r>
    </w:p>
    <w:p w14:paraId="2E61D3A6" w14:textId="77777777" w:rsidR="008C6C7F" w:rsidRDefault="008C6C7F">
      <w:pPr>
        <w:autoSpaceDE w:val="0"/>
        <w:autoSpaceDN w:val="0"/>
        <w:adjustRightInd w:val="0"/>
        <w:spacing w:line="560" w:lineRule="exact"/>
        <w:rPr>
          <w:rFonts w:ascii="仿宋_GB2312" w:eastAsia="仿宋_GB2312" w:hAnsi="Times New Roman"/>
          <w:kern w:val="0"/>
          <w:sz w:val="32"/>
          <w:szCs w:val="32"/>
        </w:rPr>
      </w:pPr>
    </w:p>
    <w:p w14:paraId="7A01451E" w14:textId="77777777" w:rsidR="008C6C7F" w:rsidRDefault="00000000">
      <w:pPr>
        <w:pStyle w:val="1"/>
        <w:spacing w:before="0" w:after="0" w:line="360" w:lineRule="auto"/>
        <w:jc w:val="center"/>
        <w:rPr>
          <w:rFonts w:ascii="黑体" w:eastAsia="黑体" w:hAnsi="黑体"/>
          <w:b w:val="0"/>
          <w:bCs w:val="0"/>
          <w:sz w:val="32"/>
          <w:szCs w:val="32"/>
        </w:rPr>
      </w:pPr>
      <w:r>
        <w:rPr>
          <w:rFonts w:ascii="黑体" w:eastAsia="黑体" w:hAnsi="黑体" w:hint="eastAsia"/>
          <w:b w:val="0"/>
          <w:bCs w:val="0"/>
          <w:sz w:val="32"/>
          <w:szCs w:val="32"/>
        </w:rPr>
        <w:t>第五章  鼓励机构集聚</w:t>
      </w:r>
    </w:p>
    <w:p w14:paraId="1DC58A7C" w14:textId="77777777" w:rsidR="008C6C7F" w:rsidRDefault="00000000">
      <w:pPr>
        <w:autoSpaceDE w:val="0"/>
        <w:autoSpaceDN w:val="0"/>
        <w:adjustRightInd w:val="0"/>
        <w:spacing w:line="560" w:lineRule="exact"/>
        <w:ind w:firstLineChars="200" w:firstLine="640"/>
        <w:rPr>
          <w:rFonts w:ascii="Times New Roman" w:eastAsia="仿宋_GB2312" w:hAnsi="Times New Roman"/>
          <w:kern w:val="0"/>
          <w:sz w:val="32"/>
          <w:szCs w:val="32"/>
        </w:rPr>
      </w:pPr>
      <w:r>
        <w:rPr>
          <w:rFonts w:eastAsia="仿宋_GB2312" w:hint="eastAsia"/>
          <w:kern w:val="0"/>
          <w:sz w:val="32"/>
          <w:szCs w:val="32"/>
        </w:rPr>
        <w:t>第十二条</w:t>
      </w:r>
      <w:r>
        <w:rPr>
          <w:rFonts w:eastAsia="仿宋_GB2312"/>
          <w:kern w:val="0"/>
          <w:sz w:val="32"/>
          <w:szCs w:val="32"/>
        </w:rPr>
        <w:t xml:space="preserve">  </w:t>
      </w:r>
      <w:r>
        <w:rPr>
          <w:rFonts w:eastAsia="仿宋_GB2312" w:hint="eastAsia"/>
          <w:kern w:val="0"/>
          <w:sz w:val="32"/>
          <w:szCs w:val="32"/>
        </w:rPr>
        <w:t>鼓励机构落户发展。对当年新涵养的专业服务业机构，根据区级综合贡献情况，经行业主管部门认定，</w:t>
      </w:r>
      <w:r>
        <w:rPr>
          <w:rFonts w:eastAsia="仿宋_GB2312" w:hint="eastAsia"/>
          <w:kern w:val="0"/>
          <w:sz w:val="32"/>
          <w:szCs w:val="32"/>
        </w:rPr>
        <w:lastRenderedPageBreak/>
        <w:t>给予最高人民</w:t>
      </w:r>
      <w:r>
        <w:rPr>
          <w:rFonts w:ascii="Times New Roman" w:eastAsia="仿宋_GB2312" w:hAnsi="Times New Roman" w:hint="eastAsia"/>
          <w:kern w:val="0"/>
          <w:sz w:val="32"/>
          <w:szCs w:val="32"/>
        </w:rPr>
        <w:t>币</w:t>
      </w:r>
      <w:r>
        <w:rPr>
          <w:rFonts w:ascii="Times New Roman" w:eastAsia="仿宋_GB2312" w:hAnsi="Times New Roman"/>
          <w:kern w:val="0"/>
          <w:sz w:val="32"/>
          <w:szCs w:val="32"/>
        </w:rPr>
        <w:t>1000</w:t>
      </w:r>
      <w:r>
        <w:rPr>
          <w:rFonts w:ascii="Times New Roman" w:eastAsia="仿宋_GB2312" w:hAnsi="Times New Roman" w:hint="eastAsia"/>
          <w:kern w:val="0"/>
          <w:sz w:val="32"/>
          <w:szCs w:val="32"/>
        </w:rPr>
        <w:t>万元（</w:t>
      </w:r>
      <w:r>
        <w:rPr>
          <w:rFonts w:eastAsia="仿宋_GB2312" w:hint="eastAsia"/>
          <w:kern w:val="0"/>
          <w:sz w:val="32"/>
          <w:szCs w:val="32"/>
        </w:rPr>
        <w:t>含）补助，购置或租用办公用房的，给予最高人</w:t>
      </w:r>
      <w:r>
        <w:rPr>
          <w:rFonts w:ascii="Times New Roman" w:eastAsia="仿宋_GB2312" w:hAnsi="Times New Roman" w:hint="eastAsia"/>
          <w:kern w:val="0"/>
          <w:sz w:val="32"/>
          <w:szCs w:val="32"/>
        </w:rPr>
        <w:t>民币</w:t>
      </w:r>
      <w:r>
        <w:rPr>
          <w:rFonts w:ascii="Times New Roman" w:eastAsia="仿宋_GB2312" w:hAnsi="Times New Roman"/>
          <w:kern w:val="0"/>
          <w:sz w:val="32"/>
          <w:szCs w:val="32"/>
        </w:rPr>
        <w:t>3000</w:t>
      </w:r>
      <w:r>
        <w:rPr>
          <w:rFonts w:ascii="Times New Roman" w:eastAsia="仿宋_GB2312" w:hAnsi="Times New Roman" w:hint="eastAsia"/>
          <w:kern w:val="0"/>
          <w:sz w:val="32"/>
          <w:szCs w:val="32"/>
        </w:rPr>
        <w:t>万元（</w:t>
      </w:r>
      <w:r>
        <w:rPr>
          <w:rFonts w:eastAsia="仿宋_GB2312" w:hint="eastAsia"/>
          <w:kern w:val="0"/>
          <w:sz w:val="32"/>
          <w:szCs w:val="32"/>
        </w:rPr>
        <w:t>含）补助。</w:t>
      </w:r>
    </w:p>
    <w:p w14:paraId="3E5E70D1" w14:textId="77777777" w:rsidR="008C6C7F" w:rsidRDefault="00000000">
      <w:pPr>
        <w:autoSpaceDE w:val="0"/>
        <w:autoSpaceDN w:val="0"/>
        <w:adjustRightInd w:val="0"/>
        <w:spacing w:line="560" w:lineRule="exact"/>
        <w:ind w:firstLineChars="200" w:firstLine="640"/>
      </w:pPr>
      <w:r>
        <w:rPr>
          <w:rFonts w:eastAsia="仿宋_GB2312" w:hint="eastAsia"/>
          <w:sz w:val="32"/>
          <w:szCs w:val="32"/>
        </w:rPr>
        <w:t>第十三条</w:t>
      </w:r>
      <w:r>
        <w:rPr>
          <w:rFonts w:eastAsia="仿宋_GB2312"/>
          <w:sz w:val="32"/>
          <w:szCs w:val="32"/>
        </w:rPr>
        <w:t xml:space="preserve">  </w:t>
      </w:r>
      <w:r>
        <w:rPr>
          <w:rFonts w:eastAsia="仿宋_GB2312" w:hint="eastAsia"/>
          <w:sz w:val="32"/>
          <w:szCs w:val="32"/>
        </w:rPr>
        <w:t>鼓励机构稳定发展。鼓励驻区专业服务业机构长足发展，重点培育与区域定位相匹配的专业服务业机构。每年安排专项奖励资金，对</w:t>
      </w:r>
      <w:r>
        <w:rPr>
          <w:rFonts w:ascii="仿宋_GB2312" w:eastAsia="仿宋_GB2312" w:hAnsi="仿宋_GB2312" w:cs="仿宋_GB2312" w:hint="eastAsia"/>
          <w:kern w:val="0"/>
          <w:sz w:val="32"/>
          <w:szCs w:val="32"/>
        </w:rPr>
        <w:t>运行稳定、</w:t>
      </w:r>
      <w:r>
        <w:rPr>
          <w:rFonts w:ascii="仿宋_GB2312" w:eastAsia="仿宋_GB2312" w:hAnsi="仿宋_GB2312" w:cs="仿宋_GB2312" w:hint="eastAsia"/>
          <w:sz w:val="32"/>
        </w:rPr>
        <w:t>营业收入持续增长、成长性较强、区级综合贡献突出</w:t>
      </w:r>
      <w:r>
        <w:rPr>
          <w:rFonts w:eastAsia="仿宋_GB2312" w:hint="eastAsia"/>
          <w:sz w:val="32"/>
          <w:szCs w:val="32"/>
        </w:rPr>
        <w:t>的专业服务业机构，给予综合服务奖励。</w:t>
      </w:r>
    </w:p>
    <w:p w14:paraId="481ADD7D" w14:textId="77777777" w:rsidR="008C6C7F" w:rsidRDefault="00000000">
      <w:pPr>
        <w:pStyle w:val="a9"/>
        <w:spacing w:before="0" w:beforeAutospacing="0" w:after="0" w:afterAutospacing="0" w:line="56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第十四条</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拓展空间资源。鼓励专业服务业机构进驻西城区可利用产业空间。对围绕专业服务业发展进行改造提升、形成专业服务业主题、实现高效发展的低效楼宇，经认定，给予资金支持。</w:t>
      </w:r>
    </w:p>
    <w:p w14:paraId="49AFDCE6" w14:textId="77777777" w:rsidR="008C6C7F" w:rsidRDefault="00000000">
      <w:pPr>
        <w:spacing w:line="560" w:lineRule="exact"/>
        <w:ind w:firstLineChars="200" w:firstLine="640"/>
        <w:rPr>
          <w:rFonts w:ascii="Times New Roman" w:eastAsia="黑体" w:hAnsi="Times New Roman"/>
          <w:kern w:val="0"/>
          <w:sz w:val="32"/>
          <w:szCs w:val="32"/>
        </w:rPr>
      </w:pPr>
      <w:r>
        <w:rPr>
          <w:rFonts w:eastAsia="仿宋_GB2312" w:hint="eastAsia"/>
          <w:sz w:val="32"/>
          <w:szCs w:val="32"/>
        </w:rPr>
        <w:t>第十五条</w:t>
      </w:r>
      <w:r>
        <w:rPr>
          <w:rFonts w:eastAsia="仿宋_GB2312"/>
          <w:sz w:val="32"/>
          <w:szCs w:val="32"/>
        </w:rPr>
        <w:t xml:space="preserve">  </w:t>
      </w:r>
      <w:r>
        <w:rPr>
          <w:rFonts w:eastAsia="仿宋_GB2312" w:hint="eastAsia"/>
          <w:sz w:val="32"/>
          <w:szCs w:val="32"/>
        </w:rPr>
        <w:t>对支持项目特别重大或特殊事项等情况，由区政府按照“一事一议”方式给予支持。</w:t>
      </w:r>
    </w:p>
    <w:p w14:paraId="7ABA513F" w14:textId="77777777" w:rsidR="008C6C7F" w:rsidRDefault="008C6C7F">
      <w:pPr>
        <w:pStyle w:val="a4"/>
        <w:spacing w:after="0" w:line="560" w:lineRule="exact"/>
        <w:rPr>
          <w:rFonts w:ascii="仿宋_GB2312" w:eastAsia="仿宋_GB2312" w:hAnsi="Times New Roman"/>
          <w:kern w:val="0"/>
          <w:sz w:val="32"/>
          <w:szCs w:val="32"/>
        </w:rPr>
      </w:pPr>
    </w:p>
    <w:p w14:paraId="58CBDB17" w14:textId="77777777" w:rsidR="008C6C7F" w:rsidRDefault="00000000">
      <w:pPr>
        <w:pStyle w:val="1"/>
        <w:spacing w:before="0" w:after="0" w:line="360" w:lineRule="auto"/>
        <w:jc w:val="center"/>
        <w:rPr>
          <w:rFonts w:ascii="黑体" w:eastAsia="黑体" w:hAnsi="黑体"/>
          <w:b w:val="0"/>
          <w:bCs w:val="0"/>
          <w:sz w:val="32"/>
          <w:szCs w:val="32"/>
        </w:rPr>
      </w:pPr>
      <w:r>
        <w:rPr>
          <w:rFonts w:ascii="黑体" w:eastAsia="黑体" w:hAnsi="黑体" w:hint="eastAsia"/>
          <w:b w:val="0"/>
          <w:bCs w:val="0"/>
          <w:sz w:val="32"/>
          <w:szCs w:val="32"/>
        </w:rPr>
        <w:t>第六章</w:t>
      </w:r>
      <w:r>
        <w:rPr>
          <w:rFonts w:ascii="Calibri" w:eastAsia="黑体" w:hAnsi="Calibri" w:cs="Calibri"/>
          <w:b w:val="0"/>
          <w:bCs w:val="0"/>
          <w:sz w:val="32"/>
          <w:szCs w:val="32"/>
        </w:rPr>
        <w:t> </w:t>
      </w:r>
      <w:r>
        <w:rPr>
          <w:rFonts w:ascii="黑体" w:eastAsia="黑体" w:hAnsi="黑体" w:hint="eastAsia"/>
          <w:b w:val="0"/>
          <w:bCs w:val="0"/>
          <w:sz w:val="32"/>
          <w:szCs w:val="32"/>
        </w:rPr>
        <w:t xml:space="preserve"> 附则</w:t>
      </w:r>
    </w:p>
    <w:p w14:paraId="1FA0EF47" w14:textId="77777777" w:rsidR="008C6C7F" w:rsidRDefault="00000000">
      <w:pPr>
        <w:spacing w:line="560" w:lineRule="exact"/>
        <w:ind w:firstLineChars="200" w:firstLine="640"/>
        <w:rPr>
          <w:rFonts w:ascii="Times New Roman" w:hAnsi="Times New Roman"/>
        </w:rPr>
      </w:pPr>
      <w:r>
        <w:rPr>
          <w:rFonts w:eastAsia="仿宋_GB2312" w:hint="eastAsia"/>
          <w:sz w:val="32"/>
          <w:szCs w:val="32"/>
        </w:rPr>
        <w:t>第十六条</w:t>
      </w:r>
      <w:r>
        <w:rPr>
          <w:rFonts w:eastAsia="仿宋_GB2312"/>
          <w:sz w:val="32"/>
          <w:szCs w:val="32"/>
        </w:rPr>
        <w:t xml:space="preserve">  </w:t>
      </w:r>
      <w:r>
        <w:rPr>
          <w:rFonts w:eastAsia="仿宋_GB2312" w:hint="eastAsia"/>
          <w:sz w:val="32"/>
          <w:szCs w:val="32"/>
        </w:rPr>
        <w:t>本措施由区发改委牵头，各行业相关部门、产业园区主管部门和相关商、协会组织共同推动实施。本措施采用年度集中申报、评审、报区政府审议方式实施。</w:t>
      </w:r>
    </w:p>
    <w:p w14:paraId="7C083C2C" w14:textId="77777777" w:rsidR="008C6C7F" w:rsidRDefault="00000000">
      <w:pPr>
        <w:spacing w:line="560" w:lineRule="exact"/>
        <w:ind w:firstLineChars="200" w:firstLine="640"/>
        <w:rPr>
          <w:rFonts w:eastAsia="仿宋_GB2312"/>
          <w:sz w:val="32"/>
          <w:szCs w:val="32"/>
        </w:rPr>
      </w:pPr>
      <w:r>
        <w:rPr>
          <w:rFonts w:eastAsia="仿宋_GB2312" w:hint="eastAsia"/>
          <w:sz w:val="32"/>
          <w:szCs w:val="32"/>
        </w:rPr>
        <w:t>第十七条</w:t>
      </w:r>
      <w:r>
        <w:rPr>
          <w:rFonts w:eastAsia="仿宋_GB2312"/>
          <w:sz w:val="32"/>
          <w:szCs w:val="32"/>
        </w:rPr>
        <w:t xml:space="preserve">  </w:t>
      </w:r>
      <w:r>
        <w:rPr>
          <w:rFonts w:eastAsia="仿宋_GB2312" w:hint="eastAsia"/>
          <w:sz w:val="32"/>
          <w:szCs w:val="32"/>
        </w:rPr>
        <w:t>获奖主体原则上所获得的补助及奖励额度不超过兑现期所做出的区级综合贡献。机构同一事项，同时符合本措施和我区其他支持政策的，按照从高从优原则给予支持，不重复奖励。</w:t>
      </w:r>
    </w:p>
    <w:p w14:paraId="62F96BD4" w14:textId="77777777" w:rsidR="008C6C7F" w:rsidRDefault="00000000">
      <w:pPr>
        <w:spacing w:line="560" w:lineRule="exact"/>
        <w:ind w:firstLineChars="200" w:firstLine="640"/>
        <w:rPr>
          <w:rFonts w:eastAsia="仿宋_GB2312"/>
          <w:sz w:val="32"/>
          <w:szCs w:val="32"/>
        </w:rPr>
      </w:pPr>
      <w:r>
        <w:rPr>
          <w:rFonts w:eastAsia="仿宋_GB2312" w:hint="eastAsia"/>
          <w:sz w:val="32"/>
          <w:szCs w:val="32"/>
        </w:rPr>
        <w:t>第十八条</w:t>
      </w:r>
      <w:r>
        <w:rPr>
          <w:rFonts w:eastAsia="仿宋_GB2312"/>
          <w:sz w:val="32"/>
          <w:szCs w:val="32"/>
        </w:rPr>
        <w:t xml:space="preserve">  </w:t>
      </w:r>
      <w:r>
        <w:rPr>
          <w:rFonts w:eastAsia="仿宋_GB2312" w:hint="eastAsia"/>
          <w:sz w:val="32"/>
          <w:szCs w:val="32"/>
        </w:rPr>
        <w:t>对于提供虚假材料、骗取有关补助或奖励的机构，一经查实，相关部门有权收回支持资金并根据国家相</w:t>
      </w:r>
      <w:r>
        <w:rPr>
          <w:rFonts w:eastAsia="仿宋_GB2312" w:hint="eastAsia"/>
          <w:sz w:val="32"/>
          <w:szCs w:val="32"/>
        </w:rPr>
        <w:lastRenderedPageBreak/>
        <w:t>关法律、法规进行处理。</w:t>
      </w:r>
    </w:p>
    <w:p w14:paraId="15AA89FF" w14:textId="77777777" w:rsidR="008C6C7F" w:rsidRDefault="00000000">
      <w:pPr>
        <w:spacing w:line="560" w:lineRule="exact"/>
        <w:ind w:firstLineChars="200" w:firstLine="640"/>
      </w:pPr>
      <w:r>
        <w:rPr>
          <w:rFonts w:eastAsia="仿宋_GB2312" w:hint="eastAsia"/>
          <w:sz w:val="32"/>
          <w:szCs w:val="32"/>
        </w:rPr>
        <w:t>第十九条</w:t>
      </w:r>
      <w:r>
        <w:rPr>
          <w:rFonts w:eastAsia="仿宋_GB2312"/>
          <w:sz w:val="32"/>
          <w:szCs w:val="32"/>
        </w:rPr>
        <w:t xml:space="preserve">  </w:t>
      </w:r>
      <w:r>
        <w:rPr>
          <w:rFonts w:eastAsia="仿宋_GB2312" w:hint="eastAsia"/>
          <w:sz w:val="32"/>
          <w:szCs w:val="32"/>
        </w:rPr>
        <w:t>本措施自</w:t>
      </w:r>
      <w:r>
        <w:rPr>
          <w:rFonts w:ascii="Times New Roman" w:eastAsia="仿宋_GB2312" w:hAnsi="Times New Roman"/>
          <w:kern w:val="0"/>
          <w:sz w:val="32"/>
          <w:szCs w:val="32"/>
        </w:rPr>
        <w:t>2023</w:t>
      </w:r>
      <w:r>
        <w:rPr>
          <w:rFonts w:ascii="Times New Roman" w:eastAsia="仿宋_GB2312" w:hAnsi="Times New Roman" w:hint="eastAsia"/>
          <w:kern w:val="0"/>
          <w:sz w:val="32"/>
          <w:szCs w:val="32"/>
        </w:rPr>
        <w:t>年</w:t>
      </w:r>
      <w:r>
        <w:rPr>
          <w:rFonts w:ascii="Times New Roman" w:eastAsia="仿宋_GB2312" w:hAnsi="Times New Roman"/>
          <w:kern w:val="0"/>
          <w:sz w:val="32"/>
          <w:szCs w:val="32"/>
        </w:rPr>
        <w:t>6</w:t>
      </w:r>
      <w:r>
        <w:rPr>
          <w:rFonts w:ascii="Times New Roman" w:eastAsia="仿宋_GB2312" w:hAnsi="Times New Roman" w:hint="eastAsia"/>
          <w:kern w:val="0"/>
          <w:sz w:val="32"/>
          <w:szCs w:val="32"/>
        </w:rPr>
        <w:t>月</w:t>
      </w:r>
      <w:r>
        <w:rPr>
          <w:rFonts w:ascii="Times New Roman" w:eastAsia="仿宋_GB2312" w:hAnsi="Times New Roman"/>
          <w:kern w:val="0"/>
          <w:sz w:val="32"/>
          <w:szCs w:val="32"/>
        </w:rPr>
        <w:t>9</w:t>
      </w:r>
      <w:r>
        <w:rPr>
          <w:rFonts w:ascii="Times New Roman" w:eastAsia="仿宋_GB2312" w:hAnsi="Times New Roman" w:hint="eastAsia"/>
          <w:kern w:val="0"/>
          <w:sz w:val="32"/>
          <w:szCs w:val="32"/>
        </w:rPr>
        <w:t>日</w:t>
      </w:r>
      <w:r>
        <w:rPr>
          <w:rFonts w:eastAsia="仿宋_GB2312" w:hint="eastAsia"/>
          <w:sz w:val="32"/>
          <w:szCs w:val="32"/>
        </w:rPr>
        <w:t>起实行，有效期五年，由西城区发展和改革委员会负责解释。《北京市西城区促进专业服务业高质量发展的若干措施（试行）》</w:t>
      </w:r>
      <w:r>
        <w:rPr>
          <w:rFonts w:ascii="仿宋_GB2312" w:eastAsia="仿宋_GB2312" w:hAnsi="仿宋_GB2312" w:cs="仿宋_GB2312" w:hint="eastAsia"/>
          <w:sz w:val="32"/>
          <w:szCs w:val="32"/>
        </w:rPr>
        <w:t>（西发改</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2020</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75</w:t>
      </w:r>
      <w:r>
        <w:rPr>
          <w:rFonts w:ascii="Times New Roman" w:eastAsia="仿宋_GB2312" w:hAnsi="Times New Roman" w:hint="eastAsia"/>
          <w:kern w:val="0"/>
          <w:sz w:val="32"/>
          <w:szCs w:val="32"/>
        </w:rPr>
        <w:t>号）</w:t>
      </w:r>
      <w:r>
        <w:rPr>
          <w:rFonts w:eastAsia="仿宋_GB2312" w:hint="eastAsia"/>
          <w:sz w:val="32"/>
          <w:szCs w:val="32"/>
        </w:rPr>
        <w:t>同时废止。</w:t>
      </w:r>
    </w:p>
    <w:bookmarkEnd w:id="0"/>
    <w:p w14:paraId="3C0EFC1F" w14:textId="1984F6C3" w:rsidR="008C6C7F" w:rsidRPr="00D16ED7" w:rsidRDefault="008C6C7F" w:rsidP="00D16ED7">
      <w:pPr>
        <w:widowControl/>
        <w:jc w:val="left"/>
        <w:rPr>
          <w:rFonts w:ascii="仿宋_GB2312" w:eastAsia="仿宋_GB2312"/>
        </w:rPr>
      </w:pPr>
    </w:p>
    <w:sectPr w:rsidR="008C6C7F" w:rsidRPr="00D16ED7">
      <w:footerReference w:type="default" r:id="rId7"/>
      <w:footerReference w:type="first" r:id="rId8"/>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3D3F" w14:textId="77777777" w:rsidR="009F68F9" w:rsidRDefault="009F68F9">
      <w:r>
        <w:separator/>
      </w:r>
    </w:p>
  </w:endnote>
  <w:endnote w:type="continuationSeparator" w:id="0">
    <w:p w14:paraId="0C1BAE37" w14:textId="77777777" w:rsidR="009F68F9" w:rsidRDefault="009F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9981897"/>
    </w:sdtPr>
    <w:sdtContent>
      <w:sdt>
        <w:sdtPr>
          <w:id w:val="-1705238520"/>
        </w:sdtPr>
        <w:sdtContent>
          <w:p w14:paraId="67370DBC" w14:textId="77777777" w:rsidR="008C6C7F" w:rsidRDefault="00000000">
            <w:pPr>
              <w:pStyle w:val="a5"/>
              <w:jc w:val="center"/>
            </w:pPr>
            <w:r>
              <w:rPr>
                <w:lang w:val="zh-CN"/>
              </w:rPr>
              <w:t xml:space="preserve"> </w:t>
            </w:r>
            <w:r>
              <w:rPr>
                <w:b/>
                <w:bCs/>
                <w:sz w:val="24"/>
              </w:rPr>
              <w:fldChar w:fldCharType="begin"/>
            </w:r>
            <w:r>
              <w:rPr>
                <w:b/>
                <w:bCs/>
              </w:rPr>
              <w:instrText>PAGE</w:instrText>
            </w:r>
            <w:r>
              <w:rPr>
                <w:b/>
                <w:bCs/>
                <w:sz w:val="24"/>
              </w:rPr>
              <w:fldChar w:fldCharType="separate"/>
            </w:r>
            <w:r>
              <w:rPr>
                <w:b/>
                <w:bCs/>
                <w:lang w:val="zh-CN"/>
              </w:rPr>
              <w:t>2</w:t>
            </w:r>
            <w:r>
              <w:rPr>
                <w:b/>
                <w:bCs/>
                <w:sz w:val="24"/>
              </w:rPr>
              <w:fldChar w:fldCharType="end"/>
            </w:r>
            <w:r>
              <w:rPr>
                <w:lang w:val="zh-CN"/>
              </w:rPr>
              <w:t xml:space="preserve"> / </w:t>
            </w:r>
            <w:r>
              <w:rPr>
                <w:b/>
                <w:bCs/>
                <w:sz w:val="24"/>
              </w:rPr>
              <w:fldChar w:fldCharType="begin"/>
            </w:r>
            <w:r>
              <w:rPr>
                <w:b/>
                <w:bCs/>
              </w:rPr>
              <w:instrText>NUMPAGES</w:instrText>
            </w:r>
            <w:r>
              <w:rPr>
                <w:b/>
                <w:bCs/>
                <w:sz w:val="24"/>
              </w:rPr>
              <w:fldChar w:fldCharType="separate"/>
            </w:r>
            <w:r>
              <w:rPr>
                <w:b/>
                <w:bCs/>
                <w:lang w:val="zh-CN"/>
              </w:rPr>
              <w:t>2</w:t>
            </w:r>
            <w:r>
              <w:rPr>
                <w:b/>
                <w:bCs/>
                <w:sz w:val="24"/>
              </w:rPr>
              <w:fldChar w:fldCharType="end"/>
            </w:r>
          </w:p>
        </w:sdtContent>
      </w:sdt>
    </w:sdtContent>
  </w:sdt>
  <w:p w14:paraId="4616E13A" w14:textId="77777777" w:rsidR="008C6C7F" w:rsidRDefault="008C6C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243011"/>
    </w:sdtPr>
    <w:sdtContent>
      <w:p w14:paraId="7210AA9A" w14:textId="77777777" w:rsidR="008C6C7F" w:rsidRDefault="00000000">
        <w:pPr>
          <w:pStyle w:val="a5"/>
          <w:jc w:val="center"/>
        </w:pPr>
        <w:r>
          <w:fldChar w:fldCharType="begin"/>
        </w:r>
        <w:r>
          <w:instrText>PAGE   \* MERGEFORMAT</w:instrText>
        </w:r>
        <w:r>
          <w:fldChar w:fldCharType="separate"/>
        </w:r>
        <w:r>
          <w:rPr>
            <w:lang w:val="zh-CN"/>
          </w:rPr>
          <w:t>2</w:t>
        </w:r>
        <w:r>
          <w:fldChar w:fldCharType="end"/>
        </w:r>
      </w:p>
    </w:sdtContent>
  </w:sdt>
  <w:p w14:paraId="046DDB8C" w14:textId="77777777" w:rsidR="008C6C7F" w:rsidRDefault="008C6C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042AB" w14:textId="77777777" w:rsidR="009F68F9" w:rsidRDefault="009F68F9">
      <w:r>
        <w:separator/>
      </w:r>
    </w:p>
  </w:footnote>
  <w:footnote w:type="continuationSeparator" w:id="0">
    <w:p w14:paraId="485C2E98" w14:textId="77777777" w:rsidR="009F68F9" w:rsidRDefault="009F68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4A7EE2"/>
    <w:rsid w:val="000047C0"/>
    <w:rsid w:val="00071AF3"/>
    <w:rsid w:val="000A2DF8"/>
    <w:rsid w:val="000B00C2"/>
    <w:rsid w:val="000B2680"/>
    <w:rsid w:val="000C55B7"/>
    <w:rsid w:val="000E4567"/>
    <w:rsid w:val="000F630D"/>
    <w:rsid w:val="00105F81"/>
    <w:rsid w:val="0011538A"/>
    <w:rsid w:val="001223C2"/>
    <w:rsid w:val="0014117D"/>
    <w:rsid w:val="001574C4"/>
    <w:rsid w:val="00160276"/>
    <w:rsid w:val="00172FD0"/>
    <w:rsid w:val="001E2457"/>
    <w:rsid w:val="00240FE0"/>
    <w:rsid w:val="002414D9"/>
    <w:rsid w:val="002F481C"/>
    <w:rsid w:val="00327CE6"/>
    <w:rsid w:val="003417C8"/>
    <w:rsid w:val="003507B7"/>
    <w:rsid w:val="003A3D0C"/>
    <w:rsid w:val="003D7697"/>
    <w:rsid w:val="003E2F4F"/>
    <w:rsid w:val="003F04CC"/>
    <w:rsid w:val="00401983"/>
    <w:rsid w:val="00471608"/>
    <w:rsid w:val="00474BDC"/>
    <w:rsid w:val="00497476"/>
    <w:rsid w:val="004C274E"/>
    <w:rsid w:val="004C3E42"/>
    <w:rsid w:val="004D52DC"/>
    <w:rsid w:val="004D68A7"/>
    <w:rsid w:val="004F7D5B"/>
    <w:rsid w:val="00515784"/>
    <w:rsid w:val="00516A67"/>
    <w:rsid w:val="00533AD0"/>
    <w:rsid w:val="0056199A"/>
    <w:rsid w:val="00577436"/>
    <w:rsid w:val="00587D87"/>
    <w:rsid w:val="005900A2"/>
    <w:rsid w:val="005B6028"/>
    <w:rsid w:val="006412B4"/>
    <w:rsid w:val="00661DAB"/>
    <w:rsid w:val="006670F3"/>
    <w:rsid w:val="0067097A"/>
    <w:rsid w:val="006A20C0"/>
    <w:rsid w:val="008558AA"/>
    <w:rsid w:val="008807A9"/>
    <w:rsid w:val="00890224"/>
    <w:rsid w:val="008B4125"/>
    <w:rsid w:val="008C2FA0"/>
    <w:rsid w:val="008C6C7F"/>
    <w:rsid w:val="008D71B0"/>
    <w:rsid w:val="008D7749"/>
    <w:rsid w:val="008D7CF9"/>
    <w:rsid w:val="00916EFF"/>
    <w:rsid w:val="0092537E"/>
    <w:rsid w:val="00956ED2"/>
    <w:rsid w:val="00973147"/>
    <w:rsid w:val="00976AD8"/>
    <w:rsid w:val="00981E88"/>
    <w:rsid w:val="009910EE"/>
    <w:rsid w:val="009B0421"/>
    <w:rsid w:val="009F68F9"/>
    <w:rsid w:val="00A13F6F"/>
    <w:rsid w:val="00A24EC0"/>
    <w:rsid w:val="00A73587"/>
    <w:rsid w:val="00A8024B"/>
    <w:rsid w:val="00A946F0"/>
    <w:rsid w:val="00A970F5"/>
    <w:rsid w:val="00AA0EC5"/>
    <w:rsid w:val="00AC23BE"/>
    <w:rsid w:val="00AD0EAB"/>
    <w:rsid w:val="00AD6609"/>
    <w:rsid w:val="00AE302C"/>
    <w:rsid w:val="00B00A26"/>
    <w:rsid w:val="00B3545C"/>
    <w:rsid w:val="00B415A8"/>
    <w:rsid w:val="00B45C41"/>
    <w:rsid w:val="00B460EE"/>
    <w:rsid w:val="00B511B0"/>
    <w:rsid w:val="00B63170"/>
    <w:rsid w:val="00B9392C"/>
    <w:rsid w:val="00B93E1E"/>
    <w:rsid w:val="00BB2E2D"/>
    <w:rsid w:val="00C27821"/>
    <w:rsid w:val="00C75D0A"/>
    <w:rsid w:val="00CB5BB9"/>
    <w:rsid w:val="00CE34F7"/>
    <w:rsid w:val="00CE4D9E"/>
    <w:rsid w:val="00D16ED7"/>
    <w:rsid w:val="00D57CC1"/>
    <w:rsid w:val="00DA7382"/>
    <w:rsid w:val="00E143B9"/>
    <w:rsid w:val="00E14574"/>
    <w:rsid w:val="00E54BB0"/>
    <w:rsid w:val="00E76AB1"/>
    <w:rsid w:val="00E82707"/>
    <w:rsid w:val="00E97E06"/>
    <w:rsid w:val="00EB0440"/>
    <w:rsid w:val="00EB76A5"/>
    <w:rsid w:val="00EC724E"/>
    <w:rsid w:val="00F062BE"/>
    <w:rsid w:val="00F21F2E"/>
    <w:rsid w:val="00F230FA"/>
    <w:rsid w:val="00F279CE"/>
    <w:rsid w:val="00F27A00"/>
    <w:rsid w:val="00F55118"/>
    <w:rsid w:val="00F60676"/>
    <w:rsid w:val="00F63153"/>
    <w:rsid w:val="00F66193"/>
    <w:rsid w:val="00F80C98"/>
    <w:rsid w:val="00FA0BD2"/>
    <w:rsid w:val="00FB3B26"/>
    <w:rsid w:val="00FC4368"/>
    <w:rsid w:val="00FF5310"/>
    <w:rsid w:val="03C86F8A"/>
    <w:rsid w:val="04F8622C"/>
    <w:rsid w:val="0D0562DA"/>
    <w:rsid w:val="128827D2"/>
    <w:rsid w:val="13C00335"/>
    <w:rsid w:val="13E52244"/>
    <w:rsid w:val="14466896"/>
    <w:rsid w:val="174D42A1"/>
    <w:rsid w:val="174F5E71"/>
    <w:rsid w:val="1CE97B80"/>
    <w:rsid w:val="21B85558"/>
    <w:rsid w:val="24C56E66"/>
    <w:rsid w:val="24F43CD9"/>
    <w:rsid w:val="250F5A69"/>
    <w:rsid w:val="2A4B4F41"/>
    <w:rsid w:val="2CB34FEF"/>
    <w:rsid w:val="2EA16178"/>
    <w:rsid w:val="2FCE556B"/>
    <w:rsid w:val="35967EC6"/>
    <w:rsid w:val="3A2E2F78"/>
    <w:rsid w:val="3FE95079"/>
    <w:rsid w:val="44A87A9D"/>
    <w:rsid w:val="4BB16EDA"/>
    <w:rsid w:val="4D8D57C5"/>
    <w:rsid w:val="51E73616"/>
    <w:rsid w:val="57A628D5"/>
    <w:rsid w:val="57C402AC"/>
    <w:rsid w:val="59970742"/>
    <w:rsid w:val="5B327312"/>
    <w:rsid w:val="5BB32AFE"/>
    <w:rsid w:val="5F6F574C"/>
    <w:rsid w:val="62EF49A0"/>
    <w:rsid w:val="6A2B4856"/>
    <w:rsid w:val="6BE94D3F"/>
    <w:rsid w:val="78AD66B7"/>
    <w:rsid w:val="79B43296"/>
    <w:rsid w:val="7AB271FF"/>
    <w:rsid w:val="7F4A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25091"/>
  <w15:docId w15:val="{04DF9E7E-1FA8-4270-99CA-58B020DB4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Calibri" w:hAnsi="Calibri"/>
      <w:kern w:val="2"/>
      <w:sz w:val="21"/>
      <w:szCs w:val="24"/>
    </w:rPr>
  </w:style>
  <w:style w:type="paragraph" w:styleId="1">
    <w:name w:val="heading 1"/>
    <w:basedOn w:val="a"/>
    <w:next w:val="a"/>
    <w:uiPriority w:val="9"/>
    <w:qFormat/>
    <w:pPr>
      <w:keepNext/>
      <w:keepLines/>
      <w:spacing w:before="340" w:after="330" w:line="576" w:lineRule="auto"/>
      <w:outlineLvl w:val="0"/>
    </w:pPr>
    <w:rPr>
      <w:rFonts w:asciiTheme="minorHAnsi" w:hAnsiTheme="minorHAnsi" w:cstheme="minorBidi"/>
      <w:b/>
      <w:bCs/>
      <w:kern w:val="44"/>
      <w:sz w:val="44"/>
      <w:szCs w:val="44"/>
    </w:rPr>
  </w:style>
  <w:style w:type="paragraph" w:styleId="20">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1"/>
    <w:qFormat/>
    <w:pPr>
      <w:tabs>
        <w:tab w:val="left" w:pos="2250"/>
      </w:tabs>
      <w:spacing w:before="100" w:beforeAutospacing="1" w:line="400" w:lineRule="atLeast"/>
      <w:ind w:firstLine="629"/>
    </w:pPr>
  </w:style>
  <w:style w:type="paragraph" w:styleId="a3">
    <w:name w:val="annotation text"/>
    <w:basedOn w:val="a"/>
    <w:qFormat/>
    <w:pPr>
      <w:jc w:val="left"/>
    </w:pPr>
  </w:style>
  <w:style w:type="paragraph" w:styleId="a4">
    <w:name w:val="Body Text"/>
    <w:basedOn w:val="a"/>
    <w:qFormat/>
    <w:pPr>
      <w:spacing w:after="120"/>
    </w:p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a">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character" w:styleId="ab">
    <w:name w:val="Hyperlink"/>
    <w:basedOn w:val="a0"/>
    <w:qFormat/>
    <w:rPr>
      <w:color w:val="0000FF"/>
      <w:u w:val="single"/>
    </w:rPr>
  </w:style>
  <w:style w:type="paragraph" w:styleId="ac">
    <w:name w:val="List Paragraph"/>
    <w:basedOn w:val="a"/>
    <w:uiPriority w:val="34"/>
    <w:qFormat/>
    <w:pPr>
      <w:ind w:firstLineChars="200" w:firstLine="420"/>
    </w:pPr>
  </w:style>
  <w:style w:type="character" w:customStyle="1" w:styleId="a8">
    <w:name w:val="页眉 字符"/>
    <w:basedOn w:val="a0"/>
    <w:link w:val="a7"/>
    <w:qFormat/>
    <w:rPr>
      <w:rFonts w:ascii="Calibri" w:hAnsi="Calibri"/>
      <w:kern w:val="2"/>
      <w:sz w:val="18"/>
      <w:szCs w:val="18"/>
    </w:rPr>
  </w:style>
  <w:style w:type="character" w:customStyle="1" w:styleId="a6">
    <w:name w:val="页脚 字符"/>
    <w:basedOn w:val="a0"/>
    <w:link w:val="a5"/>
    <w:uiPriority w:val="99"/>
    <w:qFormat/>
    <w:rPr>
      <w:rFonts w:ascii="Calibri" w:hAnsi="Calibri"/>
      <w:kern w:val="2"/>
      <w:sz w:val="18"/>
      <w:szCs w:val="24"/>
    </w:rPr>
  </w:style>
  <w:style w:type="paragraph" w:customStyle="1" w:styleId="10">
    <w:name w:val="修订1"/>
    <w:hidden/>
    <w:uiPriority w:val="99"/>
    <w:unhideWhenUsed/>
    <w:qFormat/>
    <w:rPr>
      <w:rFonts w:ascii="Calibri" w:hAnsi="Calibri"/>
      <w:kern w:val="2"/>
      <w:sz w:val="21"/>
      <w:szCs w:val="24"/>
    </w:rPr>
  </w:style>
  <w:style w:type="paragraph" w:customStyle="1" w:styleId="22">
    <w:name w:val="修订2"/>
    <w:hidden/>
    <w:uiPriority w:val="99"/>
    <w:unhideWhenUsed/>
    <w:qFormat/>
    <w:rPr>
      <w:rFonts w:ascii="Calibri" w:hAnsi="Calibri"/>
      <w:kern w:val="2"/>
      <w:sz w:val="21"/>
      <w:szCs w:val="24"/>
    </w:rPr>
  </w:style>
  <w:style w:type="paragraph" w:customStyle="1" w:styleId="3">
    <w:name w:val="修订3"/>
    <w:hidden/>
    <w:uiPriority w:val="99"/>
    <w:unhideWhenUsed/>
    <w:qFormat/>
    <w:rPr>
      <w:rFonts w:ascii="Calibri" w:hAnsi="Calibri"/>
      <w:kern w:val="2"/>
      <w:sz w:val="21"/>
      <w:szCs w:val="24"/>
    </w:rPr>
  </w:style>
  <w:style w:type="character" w:customStyle="1" w:styleId="21">
    <w:name w:val="正文文本缩进 2 字符"/>
    <w:basedOn w:val="a0"/>
    <w:link w:val="2"/>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320</Words>
  <Characters>1829</Characters>
  <Application>Microsoft Office Word</Application>
  <DocSecurity>0</DocSecurity>
  <Lines>15</Lines>
  <Paragraphs>4</Paragraphs>
  <ScaleCrop>false</ScaleCrop>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li yan</cp:lastModifiedBy>
  <cp:revision>9</cp:revision>
  <cp:lastPrinted>2023-08-08T04:33:00Z</cp:lastPrinted>
  <dcterms:created xsi:type="dcterms:W3CDTF">2023-08-07T12:59:00Z</dcterms:created>
  <dcterms:modified xsi:type="dcterms:W3CDTF">2023-08-08T06:03:00Z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