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仿宋_GB2312"/>
          <w:b/>
          <w:sz w:val="36"/>
          <w:szCs w:val="36"/>
        </w:rPr>
      </w:pPr>
      <w:r>
        <w:rPr>
          <w:rFonts w:hint="eastAsia" w:ascii="仿宋_GB2312"/>
          <w:b/>
          <w:sz w:val="36"/>
          <w:szCs w:val="36"/>
        </w:rPr>
        <w:t>目  录</w:t>
      </w:r>
    </w:p>
    <w:p>
      <w:pPr>
        <w:jc w:val="left"/>
        <w:outlineLvl w:val="0"/>
        <w:rPr>
          <w:rFonts w:ascii="仿宋_GB2312" w:eastAsia="仿宋_GB2312"/>
          <w:sz w:val="32"/>
          <w:szCs w:val="32"/>
        </w:rPr>
      </w:pPr>
    </w:p>
    <w:p>
      <w:pPr>
        <w:jc w:val="left"/>
        <w:outlineLvl w:val="0"/>
        <w:rPr>
          <w:rFonts w:ascii="仿宋_GB2312" w:eastAsia="仿宋_GB2312"/>
          <w:sz w:val="32"/>
          <w:szCs w:val="32"/>
        </w:rPr>
      </w:pPr>
      <w:r>
        <w:rPr>
          <w:rFonts w:hint="eastAsia" w:ascii="仿宋_GB2312" w:eastAsia="仿宋_GB2312"/>
          <w:sz w:val="32"/>
          <w:szCs w:val="32"/>
        </w:rPr>
        <w:t>第一部分2022年部门决算说明</w:t>
      </w:r>
    </w:p>
    <w:p>
      <w:pPr>
        <w:jc w:val="left"/>
        <w:outlineLvl w:val="0"/>
        <w:rPr>
          <w:rFonts w:ascii="仿宋_GB2312" w:eastAsia="仿宋_GB2312"/>
          <w:sz w:val="32"/>
          <w:szCs w:val="32"/>
        </w:rPr>
      </w:pPr>
      <w:r>
        <w:rPr>
          <w:rFonts w:hint="eastAsia" w:ascii="仿宋_GB2312" w:eastAsia="仿宋_GB2312"/>
          <w:sz w:val="32"/>
          <w:szCs w:val="32"/>
        </w:rPr>
        <w:t>第二部分2022年部门决算报表</w:t>
      </w:r>
    </w:p>
    <w:p>
      <w:pPr>
        <w:ind w:firstLine="645"/>
        <w:jc w:val="left"/>
        <w:outlineLvl w:val="0"/>
        <w:rPr>
          <w:rFonts w:ascii="仿宋_GB2312" w:eastAsia="仿宋_GB2312"/>
          <w:sz w:val="32"/>
          <w:szCs w:val="32"/>
        </w:rPr>
      </w:pPr>
      <w:r>
        <w:rPr>
          <w:rFonts w:hint="eastAsia" w:ascii="仿宋_GB2312" w:eastAsia="仿宋_GB2312"/>
          <w:sz w:val="32"/>
          <w:szCs w:val="32"/>
        </w:rPr>
        <w:t>1.2022年收入支出决算总表</w:t>
      </w:r>
    </w:p>
    <w:p>
      <w:pPr>
        <w:ind w:firstLine="640" w:firstLineChars="200"/>
        <w:rPr>
          <w:rFonts w:ascii="仿宋_GB2312" w:hAnsi="楷体" w:eastAsia="仿宋_GB2312"/>
          <w:sz w:val="32"/>
          <w:szCs w:val="32"/>
        </w:rPr>
      </w:pPr>
      <w:r>
        <w:rPr>
          <w:rFonts w:hint="eastAsia" w:ascii="仿宋_GB2312" w:hAnsi="楷体" w:eastAsia="仿宋_GB2312"/>
          <w:sz w:val="32"/>
          <w:szCs w:val="32"/>
        </w:rPr>
        <w:t>2.2022年收入决算表</w:t>
      </w:r>
    </w:p>
    <w:p>
      <w:pPr>
        <w:ind w:firstLine="640" w:firstLineChars="200"/>
        <w:rPr>
          <w:rFonts w:ascii="仿宋_GB2312" w:hAnsi="楷体" w:eastAsia="仿宋_GB2312"/>
          <w:sz w:val="32"/>
          <w:szCs w:val="32"/>
        </w:rPr>
      </w:pPr>
      <w:r>
        <w:rPr>
          <w:rFonts w:hint="eastAsia" w:ascii="仿宋_GB2312" w:hAnsi="楷体" w:eastAsia="仿宋_GB2312"/>
          <w:sz w:val="32"/>
          <w:szCs w:val="32"/>
        </w:rPr>
        <w:t>3.2022年支出决算表</w:t>
      </w:r>
    </w:p>
    <w:p>
      <w:pPr>
        <w:ind w:firstLine="640" w:firstLineChars="200"/>
        <w:rPr>
          <w:rFonts w:ascii="仿宋_GB2312" w:hAnsi="楷体" w:eastAsia="仿宋_GB2312"/>
          <w:sz w:val="32"/>
          <w:szCs w:val="32"/>
        </w:rPr>
      </w:pPr>
      <w:r>
        <w:rPr>
          <w:rFonts w:hint="eastAsia" w:ascii="仿宋_GB2312" w:hAnsi="楷体" w:eastAsia="仿宋_GB2312"/>
          <w:sz w:val="32"/>
          <w:szCs w:val="32"/>
        </w:rPr>
        <w:t>4.2022年财政拨款收入支出决算总表</w:t>
      </w:r>
    </w:p>
    <w:p>
      <w:pPr>
        <w:ind w:firstLine="640" w:firstLineChars="200"/>
        <w:rPr>
          <w:rFonts w:hint="eastAsia"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sz w:val="32"/>
          <w:szCs w:val="32"/>
        </w:rPr>
        <w:t>5.2022年一般公共预</w:t>
      </w:r>
      <w:r>
        <w:rPr>
          <w:rFonts w:hint="eastAsia" w:ascii="仿宋_GB2312" w:hAnsi="楷体" w:eastAsia="仿宋_GB2312"/>
          <w:color w:val="000000" w:themeColor="text1"/>
          <w:sz w:val="32"/>
          <w:szCs w:val="32"/>
          <w14:textFill>
            <w14:solidFill>
              <w14:schemeClr w14:val="tx1"/>
            </w14:solidFill>
          </w14:textFill>
        </w:rPr>
        <w:t>算财政拨款</w:t>
      </w:r>
      <w:r>
        <w:rPr>
          <w:rFonts w:hint="eastAsia" w:ascii="仿宋_GB2312" w:hAnsi="楷体" w:eastAsia="仿宋_GB2312"/>
          <w:color w:val="000000" w:themeColor="text1"/>
          <w:sz w:val="32"/>
          <w:szCs w:val="32"/>
          <w:lang w:eastAsia="zh-CN"/>
          <w14:textFill>
            <w14:solidFill>
              <w14:schemeClr w14:val="tx1"/>
            </w14:solidFill>
          </w14:textFill>
        </w:rPr>
        <w:t>收入</w:t>
      </w:r>
      <w:r>
        <w:rPr>
          <w:rFonts w:hint="eastAsia" w:ascii="仿宋_GB2312" w:hAnsi="楷体" w:eastAsia="仿宋_GB2312"/>
          <w:color w:val="000000" w:themeColor="text1"/>
          <w:sz w:val="32"/>
          <w:szCs w:val="32"/>
          <w14:textFill>
            <w14:solidFill>
              <w14:schemeClr w14:val="tx1"/>
            </w14:solidFill>
          </w14:textFill>
        </w:rPr>
        <w:t>支出决算表</w:t>
      </w:r>
    </w:p>
    <w:p>
      <w:pPr>
        <w:ind w:firstLine="640" w:firstLineChars="200"/>
        <w:rPr>
          <w:rFonts w:ascii="仿宋_GB2312" w:hAnsi="楷体" w:eastAsia="仿宋_GB2312"/>
          <w:sz w:val="32"/>
          <w:szCs w:val="32"/>
        </w:rPr>
      </w:pPr>
      <w:r>
        <w:rPr>
          <w:rFonts w:hint="eastAsia" w:ascii="仿宋_GB2312" w:hAnsi="楷体" w:eastAsia="仿宋_GB2312"/>
          <w:color w:val="000000" w:themeColor="text1"/>
          <w:sz w:val="32"/>
          <w:szCs w:val="32"/>
          <w:lang w:val="en-US" w:eastAsia="zh-CN"/>
          <w14:textFill>
            <w14:solidFill>
              <w14:schemeClr w14:val="tx1"/>
            </w14:solidFill>
          </w14:textFill>
        </w:rPr>
        <w:t>6.</w:t>
      </w:r>
      <w:r>
        <w:rPr>
          <w:rFonts w:hint="eastAsia" w:ascii="仿宋_GB2312" w:hAnsi="楷体" w:eastAsia="仿宋_GB2312"/>
          <w:color w:val="000000" w:themeColor="text1"/>
          <w:sz w:val="32"/>
          <w:szCs w:val="32"/>
          <w14:textFill>
            <w14:solidFill>
              <w14:schemeClr w14:val="tx1"/>
            </w14:solidFill>
          </w14:textFill>
        </w:rPr>
        <w:t>2022年一般公共预算财政拨款支出决算</w:t>
      </w:r>
      <w:r>
        <w:rPr>
          <w:rFonts w:hint="eastAsia" w:ascii="仿宋_GB2312" w:hAnsi="楷体" w:eastAsia="仿宋_GB2312"/>
          <w:sz w:val="32"/>
          <w:szCs w:val="32"/>
        </w:rPr>
        <w:t>表</w:t>
      </w:r>
    </w:p>
    <w:p>
      <w:pPr>
        <w:ind w:firstLine="640" w:firstLineChars="200"/>
        <w:rPr>
          <w:rFonts w:ascii="仿宋_GB2312" w:hAnsi="楷体" w:eastAsia="仿宋_GB2312"/>
          <w:sz w:val="32"/>
          <w:szCs w:val="32"/>
        </w:rPr>
      </w:pPr>
      <w:r>
        <w:rPr>
          <w:rFonts w:hint="eastAsia" w:ascii="仿宋_GB2312" w:hAnsi="楷体" w:eastAsia="仿宋_GB2312"/>
          <w:sz w:val="32"/>
          <w:szCs w:val="32"/>
          <w:lang w:val="en-US" w:eastAsia="zh-CN"/>
        </w:rPr>
        <w:t>7</w:t>
      </w:r>
      <w:r>
        <w:rPr>
          <w:rFonts w:hint="eastAsia" w:ascii="仿宋_GB2312" w:hAnsi="楷体" w:eastAsia="仿宋_GB2312"/>
          <w:sz w:val="32"/>
          <w:szCs w:val="32"/>
        </w:rPr>
        <w:t>.2022年一般公共预算财政拨款基本支出决算表</w:t>
      </w:r>
    </w:p>
    <w:p>
      <w:pPr>
        <w:ind w:firstLine="640" w:firstLineChars="200"/>
        <w:rPr>
          <w:rFonts w:ascii="仿宋_GB2312" w:hAnsi="楷体" w:eastAsia="仿宋_GB2312"/>
          <w:sz w:val="32"/>
          <w:szCs w:val="32"/>
        </w:rPr>
      </w:pPr>
      <w:r>
        <w:rPr>
          <w:rFonts w:hint="eastAsia" w:ascii="仿宋_GB2312" w:hAnsi="楷体" w:eastAsia="仿宋_GB2312"/>
          <w:sz w:val="32"/>
          <w:szCs w:val="32"/>
          <w:lang w:val="en-US" w:eastAsia="zh-CN"/>
        </w:rPr>
        <w:t>8</w:t>
      </w:r>
      <w:r>
        <w:rPr>
          <w:rFonts w:hint="eastAsia" w:ascii="仿宋_GB2312" w:hAnsi="楷体" w:eastAsia="仿宋_GB2312"/>
          <w:sz w:val="32"/>
          <w:szCs w:val="32"/>
        </w:rPr>
        <w:t>.2022年政府性基金预算财政拨款</w:t>
      </w:r>
      <w:r>
        <w:rPr>
          <w:rFonts w:hint="eastAsia" w:ascii="仿宋_GB2312" w:hAnsi="楷体" w:eastAsia="仿宋_GB2312"/>
          <w:sz w:val="32"/>
          <w:szCs w:val="32"/>
          <w:lang w:eastAsia="zh-CN"/>
        </w:rPr>
        <w:t>收入</w:t>
      </w:r>
      <w:r>
        <w:rPr>
          <w:rFonts w:hint="eastAsia" w:ascii="仿宋_GB2312" w:hAnsi="楷体" w:eastAsia="仿宋_GB2312"/>
          <w:sz w:val="32"/>
          <w:szCs w:val="32"/>
        </w:rPr>
        <w:t>支出决算表</w:t>
      </w:r>
    </w:p>
    <w:p>
      <w:pPr>
        <w:ind w:firstLine="640" w:firstLineChars="200"/>
        <w:rPr>
          <w:rFonts w:ascii="仿宋_GB2312" w:hAnsi="楷体" w:eastAsia="仿宋_GB2312"/>
          <w:sz w:val="32"/>
          <w:szCs w:val="32"/>
        </w:rPr>
      </w:pPr>
      <w:r>
        <w:rPr>
          <w:rFonts w:hint="eastAsia" w:ascii="仿宋_GB2312" w:hAnsi="楷体" w:eastAsia="仿宋_GB2312"/>
          <w:sz w:val="32"/>
          <w:szCs w:val="32"/>
          <w:lang w:val="en-US" w:eastAsia="zh-CN"/>
        </w:rPr>
        <w:t>9</w:t>
      </w:r>
      <w:r>
        <w:rPr>
          <w:rFonts w:hint="eastAsia" w:ascii="仿宋_GB2312" w:hAnsi="楷体" w:eastAsia="仿宋_GB2312"/>
          <w:sz w:val="32"/>
          <w:szCs w:val="32"/>
        </w:rPr>
        <w:t>.2022年政府性基金预算财政拨款基本支出决算表</w:t>
      </w:r>
    </w:p>
    <w:p>
      <w:pPr>
        <w:ind w:left="638" w:leftChars="304"/>
        <w:rPr>
          <w:rFonts w:ascii="仿宋_GB2312" w:hAnsi="楷体" w:eastAsia="仿宋_GB2312"/>
          <w:sz w:val="32"/>
          <w:szCs w:val="32"/>
        </w:rPr>
      </w:pPr>
      <w:r>
        <w:rPr>
          <w:rFonts w:hint="eastAsia" w:ascii="仿宋_GB2312" w:hAnsi="楷体" w:eastAsia="仿宋_GB2312"/>
          <w:sz w:val="32"/>
          <w:szCs w:val="32"/>
          <w:lang w:val="en-US" w:eastAsia="zh-CN"/>
        </w:rPr>
        <w:t>10</w:t>
      </w:r>
      <w:r>
        <w:rPr>
          <w:rFonts w:hint="eastAsia" w:ascii="仿宋_GB2312" w:hAnsi="楷体" w:eastAsia="仿宋_GB2312"/>
          <w:sz w:val="32"/>
          <w:szCs w:val="32"/>
        </w:rPr>
        <w:t>.2022年国有资本经营预算财政拨款支出决算表1</w:t>
      </w:r>
      <w:r>
        <w:rPr>
          <w:rFonts w:hint="eastAsia" w:ascii="仿宋_GB2312" w:hAnsi="楷体" w:eastAsia="仿宋_GB2312"/>
          <w:sz w:val="32"/>
          <w:szCs w:val="32"/>
          <w:lang w:val="en-US" w:eastAsia="zh-CN"/>
        </w:rPr>
        <w:t>1</w:t>
      </w:r>
      <w:r>
        <w:rPr>
          <w:rFonts w:hint="eastAsia" w:ascii="仿宋_GB2312" w:hAnsi="楷体" w:eastAsia="仿宋_GB2312"/>
          <w:sz w:val="32"/>
          <w:szCs w:val="32"/>
        </w:rPr>
        <w:t>.2022年财政拨款"三公"经费支出决算表</w:t>
      </w:r>
    </w:p>
    <w:p>
      <w:pPr>
        <w:ind w:firstLine="640" w:firstLineChars="200"/>
        <w:rPr>
          <w:rFonts w:ascii="仿宋_GB2312" w:hAnsi="楷体" w:eastAsia="仿宋_GB2312"/>
          <w:sz w:val="32"/>
          <w:szCs w:val="32"/>
        </w:rPr>
      </w:pPr>
      <w:r>
        <w:rPr>
          <w:rFonts w:hint="eastAsia" w:ascii="仿宋_GB2312" w:hAnsi="楷体" w:eastAsia="仿宋_GB2312"/>
          <w:sz w:val="32"/>
          <w:szCs w:val="32"/>
        </w:rPr>
        <w:t>1</w:t>
      </w:r>
      <w:r>
        <w:rPr>
          <w:rFonts w:hint="eastAsia" w:ascii="仿宋_GB2312" w:hAnsi="楷体" w:eastAsia="仿宋_GB2312"/>
          <w:sz w:val="32"/>
          <w:szCs w:val="32"/>
          <w:lang w:val="en-US" w:eastAsia="zh-CN"/>
        </w:rPr>
        <w:t>2</w:t>
      </w:r>
      <w:r>
        <w:rPr>
          <w:rFonts w:hint="eastAsia" w:ascii="仿宋_GB2312" w:hAnsi="楷体" w:eastAsia="仿宋_GB2312"/>
          <w:sz w:val="32"/>
          <w:szCs w:val="32"/>
        </w:rPr>
        <w:t xml:space="preserve">.2022年政府采购情况表 </w:t>
      </w:r>
    </w:p>
    <w:p>
      <w:pPr>
        <w:ind w:firstLine="640" w:firstLineChars="200"/>
        <w:rPr>
          <w:rFonts w:ascii="仿宋_GB2312" w:hAnsi="楷体" w:eastAsia="仿宋_GB2312"/>
          <w:sz w:val="32"/>
          <w:szCs w:val="32"/>
        </w:rPr>
      </w:pPr>
      <w:r>
        <w:rPr>
          <w:rFonts w:hint="eastAsia" w:ascii="仿宋_GB2312" w:hAnsi="楷体" w:eastAsia="仿宋_GB2312"/>
          <w:sz w:val="32"/>
          <w:szCs w:val="32"/>
        </w:rPr>
        <w:t>1</w:t>
      </w:r>
      <w:r>
        <w:rPr>
          <w:rFonts w:hint="eastAsia" w:ascii="仿宋_GB2312" w:hAnsi="楷体" w:eastAsia="仿宋_GB2312"/>
          <w:sz w:val="32"/>
          <w:szCs w:val="32"/>
          <w:lang w:val="en-US" w:eastAsia="zh-CN"/>
        </w:rPr>
        <w:t>3</w:t>
      </w:r>
      <w:r>
        <w:rPr>
          <w:rFonts w:hint="eastAsia" w:ascii="仿宋_GB2312" w:hAnsi="楷体" w:eastAsia="仿宋_GB2312"/>
          <w:sz w:val="32"/>
          <w:szCs w:val="32"/>
        </w:rPr>
        <w:t>.2022年政府购买服务支出情况表</w:t>
      </w:r>
    </w:p>
    <w:p>
      <w:pPr>
        <w:ind w:firstLine="640" w:firstLineChars="200"/>
        <w:rPr>
          <w:rFonts w:ascii="仿宋_GB2312" w:hAnsi="楷体" w:eastAsia="仿宋_GB2312"/>
          <w:sz w:val="32"/>
          <w:szCs w:val="32"/>
        </w:rPr>
      </w:pPr>
    </w:p>
    <w:p>
      <w:pPr>
        <w:ind w:firstLine="640" w:firstLineChars="200"/>
        <w:rPr>
          <w:rFonts w:ascii="仿宋_GB2312" w:hAnsi="楷体" w:eastAsia="仿宋_GB2312"/>
          <w:sz w:val="32"/>
          <w:szCs w:val="32"/>
        </w:rPr>
      </w:pPr>
    </w:p>
    <w:p>
      <w:pPr>
        <w:ind w:firstLine="640" w:firstLineChars="200"/>
        <w:rPr>
          <w:rFonts w:ascii="仿宋_GB2312" w:hAnsi="楷体" w:eastAsia="仿宋_GB2312"/>
          <w:sz w:val="32"/>
          <w:szCs w:val="32"/>
        </w:rPr>
      </w:pPr>
    </w:p>
    <w:p>
      <w:pPr>
        <w:ind w:firstLine="640" w:firstLineChars="200"/>
        <w:rPr>
          <w:rFonts w:ascii="仿宋_GB2312" w:hAnsi="楷体" w:eastAsia="仿宋_GB2312"/>
          <w:sz w:val="32"/>
          <w:szCs w:val="32"/>
        </w:rPr>
      </w:pPr>
    </w:p>
    <w:p>
      <w:pPr>
        <w:ind w:firstLine="640" w:firstLineChars="200"/>
        <w:rPr>
          <w:rFonts w:ascii="仿宋_GB2312" w:hAnsi="楷体" w:eastAsia="仿宋_GB2312"/>
          <w:sz w:val="32"/>
          <w:szCs w:val="32"/>
        </w:rPr>
      </w:pPr>
    </w:p>
    <w:p>
      <w:pPr>
        <w:ind w:firstLine="640" w:firstLineChars="200"/>
        <w:rPr>
          <w:rFonts w:ascii="仿宋_GB2312" w:hAnsi="楷体" w:eastAsia="仿宋_GB2312"/>
          <w:sz w:val="32"/>
          <w:szCs w:val="32"/>
        </w:rPr>
      </w:pPr>
    </w:p>
    <w:p>
      <w:pPr>
        <w:ind w:firstLine="645"/>
        <w:jc w:val="center"/>
        <w:outlineLvl w:val="0"/>
        <w:rPr>
          <w:rFonts w:ascii="仿宋_GB2312" w:eastAsia="仿宋_GB2312"/>
          <w:b/>
          <w:sz w:val="32"/>
          <w:szCs w:val="32"/>
        </w:rPr>
      </w:pPr>
    </w:p>
    <w:p>
      <w:pPr>
        <w:ind w:firstLine="1446" w:firstLineChars="450"/>
        <w:outlineLvl w:val="0"/>
        <w:rPr>
          <w:rFonts w:ascii="仿宋_GB2312" w:eastAsia="仿宋_GB2312"/>
          <w:b/>
          <w:sz w:val="32"/>
          <w:szCs w:val="32"/>
        </w:rPr>
      </w:pPr>
      <w:r>
        <w:rPr>
          <w:rFonts w:hint="eastAsia" w:ascii="仿宋_GB2312" w:eastAsia="仿宋_GB2312"/>
          <w:b/>
          <w:sz w:val="32"/>
          <w:szCs w:val="32"/>
        </w:rPr>
        <w:t>第一部分    2022年部门决算说明</w:t>
      </w:r>
    </w:p>
    <w:p>
      <w:pPr>
        <w:ind w:firstLine="645"/>
        <w:jc w:val="left"/>
        <w:outlineLvl w:val="0"/>
        <w:rPr>
          <w:rFonts w:ascii="仿宋_GB2312" w:eastAsia="仿宋_GB2312"/>
          <w:sz w:val="32"/>
          <w:szCs w:val="32"/>
        </w:rPr>
      </w:pPr>
    </w:p>
    <w:p>
      <w:pPr>
        <w:ind w:firstLine="645"/>
        <w:jc w:val="left"/>
        <w:outlineLvl w:val="0"/>
        <w:rPr>
          <w:rFonts w:ascii="仿宋_GB2312" w:eastAsia="仿宋_GB2312"/>
          <w:b/>
          <w:sz w:val="32"/>
          <w:szCs w:val="32"/>
        </w:rPr>
      </w:pPr>
      <w:r>
        <w:rPr>
          <w:rFonts w:hint="eastAsia" w:ascii="仿宋_GB2312" w:eastAsia="仿宋_GB2312"/>
          <w:b/>
          <w:sz w:val="32"/>
          <w:szCs w:val="32"/>
        </w:rPr>
        <w:t>一、部门基本情况</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（一）部门职责</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西城区文化市场综合执法大队为中共北京市西城区委宣传部与北京市西城区文化和旅游局双重管理的副处级行政执法机构，主要职责如下：</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（1）承担集中行使法律、法规、规章规定的文化、文物、新闻出版、版权、广播电视、电影、旅游市场以及宗教等领域应由区级行政主管部门行使的行政处罚权以及与之相关的行政检查、行政强制权。</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（2）承担“扫黄打非”有关工作任务。</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（3）负责相关领域重大疑难复杂案件的查处工作。</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（4）承担北京市文化市场综合执法总队交办的有关行政执法工作。</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（5）完成区委、区政府和区委宣传部、区文化和旅游局交办的其他任务。</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（二）人员构成及内设机构情况</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区文化市场综合执法大队行政执法专项编制38名，设大队长1名（副处级），副大队长3名（正科级）。内设机构科级领导职数8正8副。</w:t>
      </w:r>
    </w:p>
    <w:p>
      <w:pPr>
        <w:ind w:firstLine="645"/>
        <w:jc w:val="left"/>
        <w:outlineLvl w:val="0"/>
        <w:rPr>
          <w:rFonts w:ascii="仿宋_GB2312" w:eastAsia="仿宋_GB2312"/>
          <w:b/>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二、2022年收入支出决算总体情况说明</w:t>
      </w:r>
    </w:p>
    <w:p>
      <w:pPr>
        <w:ind w:firstLine="645"/>
        <w:jc w:val="left"/>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2022年收入决算</w:t>
      </w:r>
      <w:r>
        <w:rPr>
          <w:rFonts w:hint="eastAsia" w:ascii="仿宋_GB2312" w:hAnsi="仿宋" w:eastAsia="仿宋_GB2312"/>
          <w:color w:val="000000" w:themeColor="text1"/>
          <w:sz w:val="30"/>
          <w:szCs w:val="30"/>
          <w14:textFill>
            <w14:solidFill>
              <w14:schemeClr w14:val="tx1"/>
            </w14:solidFill>
          </w14:textFill>
        </w:rPr>
        <w:t>1520.323741</w:t>
      </w:r>
      <w:r>
        <w:rPr>
          <w:rFonts w:hint="eastAsia" w:ascii="仿宋_GB2312" w:eastAsia="仿宋_GB2312"/>
          <w:color w:val="000000" w:themeColor="text1"/>
          <w:sz w:val="32"/>
          <w:szCs w:val="32"/>
          <w14:textFill>
            <w14:solidFill>
              <w14:schemeClr w14:val="tx1"/>
            </w14:solidFill>
          </w14:textFill>
        </w:rPr>
        <w:t>万元，其中：财政拨款</w:t>
      </w:r>
      <w:r>
        <w:rPr>
          <w:rFonts w:hint="eastAsia" w:ascii="仿宋_GB2312" w:hAnsi="仿宋" w:eastAsia="仿宋_GB2312"/>
          <w:color w:val="000000" w:themeColor="text1"/>
          <w:sz w:val="30"/>
          <w:szCs w:val="30"/>
          <w14:textFill>
            <w14:solidFill>
              <w14:schemeClr w14:val="tx1"/>
            </w14:solidFill>
          </w14:textFill>
        </w:rPr>
        <w:t>1520.323741</w:t>
      </w:r>
      <w:r>
        <w:rPr>
          <w:rFonts w:hint="eastAsia" w:ascii="仿宋_GB2312" w:eastAsia="仿宋_GB2312"/>
          <w:color w:val="000000" w:themeColor="text1"/>
          <w:sz w:val="32"/>
          <w:szCs w:val="32"/>
          <w14:textFill>
            <w14:solidFill>
              <w14:schemeClr w14:val="tx1"/>
            </w14:solidFill>
          </w14:textFill>
        </w:rPr>
        <w:t>万元，事业收入0万元，其他收入0万元。2022年收入决算与年初收入预算相比增加了10.38%，主要原因是2022年新调入、新参统人员增加及调整基础绩效等原因，增加了人员经费支出。</w:t>
      </w:r>
    </w:p>
    <w:p>
      <w:pPr>
        <w:ind w:firstLine="640" w:firstLineChars="20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2022年支出决算为</w:t>
      </w:r>
      <w:r>
        <w:rPr>
          <w:rFonts w:ascii="仿宋_GB2312" w:hAnsi="仿宋" w:eastAsia="仿宋_GB2312"/>
          <w:color w:val="000000" w:themeColor="text1"/>
          <w:sz w:val="30"/>
          <w:szCs w:val="30"/>
          <w14:textFill>
            <w14:solidFill>
              <w14:schemeClr w14:val="tx1"/>
            </w14:solidFill>
          </w14:textFill>
        </w:rPr>
        <w:t>1521</w:t>
      </w:r>
      <w:r>
        <w:rPr>
          <w:rFonts w:hint="eastAsia" w:ascii="仿宋_GB2312" w:hAnsi="仿宋" w:eastAsia="仿宋_GB2312"/>
          <w:color w:val="000000" w:themeColor="text1"/>
          <w:sz w:val="30"/>
          <w:szCs w:val="30"/>
          <w14:textFill>
            <w14:solidFill>
              <w14:schemeClr w14:val="tx1"/>
            </w14:solidFill>
          </w14:textFill>
        </w:rPr>
        <w:t>.</w:t>
      </w:r>
      <w:r>
        <w:rPr>
          <w:rFonts w:ascii="仿宋_GB2312" w:hAnsi="仿宋" w:eastAsia="仿宋_GB2312"/>
          <w:color w:val="000000" w:themeColor="text1"/>
          <w:sz w:val="30"/>
          <w:szCs w:val="30"/>
          <w14:textFill>
            <w14:solidFill>
              <w14:schemeClr w14:val="tx1"/>
            </w14:solidFill>
          </w14:textFill>
        </w:rPr>
        <w:t>150541</w:t>
      </w:r>
      <w:r>
        <w:rPr>
          <w:rFonts w:hint="eastAsia" w:ascii="仿宋_GB2312" w:eastAsia="仿宋_GB2312"/>
          <w:color w:val="000000" w:themeColor="text1"/>
          <w:sz w:val="32"/>
          <w:szCs w:val="32"/>
          <w14:textFill>
            <w14:solidFill>
              <w14:schemeClr w14:val="tx1"/>
            </w14:solidFill>
          </w14:textFill>
        </w:rPr>
        <w:t>万元，与年初支出预算相比增加了10.44%，主要原因是2022年新调入、新参统人员增加及调整基础绩效等原因，增加了基本支出的人员经费。</w:t>
      </w:r>
    </w:p>
    <w:p>
      <w:pPr>
        <w:ind w:firstLine="640" w:firstLineChars="20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2022年年末结转和结余54.300587万元，为其他资金结转结余。</w:t>
      </w:r>
    </w:p>
    <w:p>
      <w:pPr>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三、2022年一般公共预算财政拨款支出决算情况说明</w:t>
      </w:r>
    </w:p>
    <w:p>
      <w:pPr>
        <w:numPr>
          <w:ilvl w:val="0"/>
          <w:numId w:val="1"/>
        </w:num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一般公共预算财政拨款支出决算总体情况</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2022年财政拨款支出</w:t>
      </w:r>
      <w:r>
        <w:rPr>
          <w:rFonts w:ascii="仿宋_GB2312" w:hAnsi="仿宋" w:eastAsia="仿宋_GB2312"/>
          <w:color w:val="000000" w:themeColor="text1"/>
          <w:sz w:val="30"/>
          <w:szCs w:val="30"/>
          <w14:textFill>
            <w14:solidFill>
              <w14:schemeClr w14:val="tx1"/>
            </w14:solidFill>
          </w14:textFill>
        </w:rPr>
        <w:t>1521</w:t>
      </w:r>
      <w:r>
        <w:rPr>
          <w:rFonts w:hint="eastAsia" w:ascii="仿宋_GB2312" w:hAnsi="仿宋" w:eastAsia="仿宋_GB2312"/>
          <w:color w:val="000000" w:themeColor="text1"/>
          <w:sz w:val="30"/>
          <w:szCs w:val="30"/>
          <w14:textFill>
            <w14:solidFill>
              <w14:schemeClr w14:val="tx1"/>
            </w14:solidFill>
          </w14:textFill>
        </w:rPr>
        <w:t>.</w:t>
      </w:r>
      <w:r>
        <w:rPr>
          <w:rFonts w:ascii="仿宋_GB2312" w:hAnsi="仿宋" w:eastAsia="仿宋_GB2312"/>
          <w:color w:val="000000" w:themeColor="text1"/>
          <w:sz w:val="30"/>
          <w:szCs w:val="30"/>
          <w14:textFill>
            <w14:solidFill>
              <w14:schemeClr w14:val="tx1"/>
            </w14:solidFill>
          </w14:textFill>
        </w:rPr>
        <w:t>150541</w:t>
      </w:r>
      <w:r>
        <w:rPr>
          <w:rFonts w:hint="eastAsia" w:ascii="仿宋_GB2312" w:eastAsia="仿宋_GB2312"/>
          <w:color w:val="000000" w:themeColor="text1"/>
          <w:sz w:val="32"/>
          <w:szCs w:val="32"/>
          <w14:textFill>
            <w14:solidFill>
              <w14:schemeClr w14:val="tx1"/>
            </w14:solidFill>
          </w14:textFill>
        </w:rPr>
        <w:t>万元，主要用于以下方面：文化旅游体育与传媒支出1109.745212万元，占本年财政拨款支出72.95%；社会保障和就业支出131.517928万元，占本年财政拨款支出8.65%；卫生健康支出103.988701万元，占本年财政拨款支出6.84%；住房保障支出175.8987万元，占本年财政拨款支出11.56%。</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（二）一般公共预算财</w:t>
      </w:r>
      <w:r>
        <w:rPr>
          <w:rFonts w:hint="eastAsia" w:ascii="仿宋" w:hAnsi="仿宋" w:eastAsia="仿宋" w:cs="仿宋"/>
          <w:b w:val="0"/>
          <w:bCs w:val="0"/>
          <w:color w:val="000000" w:themeColor="text1"/>
          <w:sz w:val="32"/>
          <w:szCs w:val="32"/>
          <w14:textFill>
            <w14:solidFill>
              <w14:schemeClr w14:val="tx1"/>
            </w14:solidFill>
          </w14:textFill>
        </w:rPr>
        <w:t>政拨款支出决算具体情况</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支出决算按支出性质划分：</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2022年支出决算为</w:t>
      </w:r>
      <w:r>
        <w:rPr>
          <w:rFonts w:ascii="仿宋_GB2312" w:hAnsi="仿宋" w:eastAsia="仿宋_GB2312"/>
          <w:color w:val="000000" w:themeColor="text1"/>
          <w:sz w:val="30"/>
          <w:szCs w:val="30"/>
          <w14:textFill>
            <w14:solidFill>
              <w14:schemeClr w14:val="tx1"/>
            </w14:solidFill>
          </w14:textFill>
        </w:rPr>
        <w:t>1521</w:t>
      </w:r>
      <w:r>
        <w:rPr>
          <w:rFonts w:hint="eastAsia" w:ascii="仿宋_GB2312" w:hAnsi="仿宋" w:eastAsia="仿宋_GB2312"/>
          <w:color w:val="000000" w:themeColor="text1"/>
          <w:sz w:val="30"/>
          <w:szCs w:val="30"/>
          <w14:textFill>
            <w14:solidFill>
              <w14:schemeClr w14:val="tx1"/>
            </w14:solidFill>
          </w14:textFill>
        </w:rPr>
        <w:t>.</w:t>
      </w:r>
      <w:r>
        <w:rPr>
          <w:rFonts w:ascii="仿宋_GB2312" w:hAnsi="仿宋" w:eastAsia="仿宋_GB2312"/>
          <w:color w:val="000000" w:themeColor="text1"/>
          <w:sz w:val="30"/>
          <w:szCs w:val="30"/>
          <w14:textFill>
            <w14:solidFill>
              <w14:schemeClr w14:val="tx1"/>
            </w14:solidFill>
          </w14:textFill>
        </w:rPr>
        <w:t>150541</w:t>
      </w:r>
      <w:r>
        <w:rPr>
          <w:rFonts w:hint="eastAsia" w:ascii="仿宋_GB2312" w:eastAsia="仿宋_GB2312"/>
          <w:color w:val="000000" w:themeColor="text1"/>
          <w:sz w:val="32"/>
          <w:szCs w:val="32"/>
          <w14:textFill>
            <w14:solidFill>
              <w14:schemeClr w14:val="tx1"/>
            </w14:solidFill>
          </w14:textFill>
        </w:rPr>
        <w:t>万元，与年初支出预算相比增加了10.44%，</w:t>
      </w:r>
      <w:r>
        <w:rPr>
          <w:rFonts w:hint="eastAsia" w:ascii="仿宋" w:hAnsi="仿宋" w:eastAsia="仿宋" w:cs="仿宋"/>
          <w:color w:val="000000" w:themeColor="text1"/>
          <w:sz w:val="32"/>
          <w:szCs w:val="32"/>
          <w14:textFill>
            <w14:solidFill>
              <w14:schemeClr w14:val="tx1"/>
            </w14:solidFill>
          </w14:textFill>
        </w:rPr>
        <w:t>其中：</w:t>
      </w:r>
    </w:p>
    <w:p>
      <w:pPr>
        <w:rPr>
          <w:rFonts w:ascii="宋体" w:hAnsi="宋体" w:cs="Arial"/>
          <w:color w:val="000000" w:themeColor="text1"/>
          <w:kern w:val="0"/>
          <w:sz w:val="20"/>
          <w:szCs w:val="20"/>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（1）基本支出决算</w:t>
      </w:r>
      <w:r>
        <w:rPr>
          <w:rFonts w:hint="eastAsia" w:ascii="宋体" w:hAnsi="宋体" w:cs="Arial"/>
          <w:color w:val="000000" w:themeColor="text1"/>
          <w:kern w:val="0"/>
          <w:sz w:val="32"/>
          <w:szCs w:val="32"/>
          <w14:textFill>
            <w14:solidFill>
              <w14:schemeClr w14:val="tx1"/>
            </w14:solidFill>
          </w14:textFill>
        </w:rPr>
        <w:t>1332.920284</w:t>
      </w:r>
      <w:r>
        <w:rPr>
          <w:rFonts w:hint="eastAsia" w:ascii="仿宋" w:hAnsi="仿宋" w:eastAsia="仿宋" w:cs="仿宋"/>
          <w:color w:val="000000" w:themeColor="text1"/>
          <w:sz w:val="32"/>
          <w:szCs w:val="32"/>
          <w14:textFill>
            <w14:solidFill>
              <w14:schemeClr w14:val="tx1"/>
            </w14:solidFill>
          </w14:textFill>
        </w:rPr>
        <w:t>万元，比2022年年初预算增加了16.47%。</w:t>
      </w:r>
    </w:p>
    <w:p>
      <w:pPr>
        <w:rPr>
          <w:rFonts w:ascii="宋体" w:hAnsi="宋体" w:cs="Arial"/>
          <w:color w:val="000000" w:themeColor="text1"/>
          <w:kern w:val="0"/>
          <w:sz w:val="20"/>
          <w:szCs w:val="20"/>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（2）项目支出决算</w:t>
      </w:r>
      <w:r>
        <w:rPr>
          <w:rFonts w:hint="eastAsia" w:ascii="宋体" w:hAnsi="宋体" w:cs="Arial"/>
          <w:color w:val="000000" w:themeColor="text1"/>
          <w:kern w:val="0"/>
          <w:sz w:val="32"/>
          <w:szCs w:val="32"/>
          <w14:textFill>
            <w14:solidFill>
              <w14:schemeClr w14:val="tx1"/>
            </w14:solidFill>
          </w14:textFill>
        </w:rPr>
        <w:t>188.230257万</w:t>
      </w:r>
      <w:r>
        <w:rPr>
          <w:rFonts w:hint="eastAsia" w:ascii="仿宋" w:hAnsi="仿宋" w:eastAsia="仿宋" w:cs="仿宋"/>
          <w:color w:val="000000" w:themeColor="text1"/>
          <w:sz w:val="32"/>
          <w:szCs w:val="32"/>
          <w14:textFill>
            <w14:solidFill>
              <w14:schemeClr w14:val="tx1"/>
            </w14:solidFill>
          </w14:textFill>
        </w:rPr>
        <w:t>元，比2022年年初预算减少了19.20%。</w:t>
      </w:r>
    </w:p>
    <w:p>
      <w:pPr>
        <w:ind w:firstLine="803" w:firstLineChars="25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四、2022年一般公共预算财政拨款基本支出决算情况说明</w:t>
      </w:r>
    </w:p>
    <w:p>
      <w:pPr>
        <w:ind w:firstLine="640" w:firstLineChars="200"/>
        <w:rPr>
          <w:rFonts w:ascii="宋体" w:hAnsi="宋体" w:cs="Arial"/>
          <w:color w:val="000000" w:themeColor="text1"/>
          <w:kern w:val="0"/>
          <w:sz w:val="20"/>
          <w:szCs w:val="20"/>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2022年财政拨款基本支出决算数</w:t>
      </w:r>
      <w:r>
        <w:rPr>
          <w:rFonts w:hint="eastAsia" w:ascii="宋体" w:hAnsi="宋体" w:cs="Arial"/>
          <w:color w:val="000000" w:themeColor="text1"/>
          <w:kern w:val="0"/>
          <w:sz w:val="32"/>
          <w:szCs w:val="32"/>
          <w14:textFill>
            <w14:solidFill>
              <w14:schemeClr w14:val="tx1"/>
            </w14:solidFill>
          </w14:textFill>
        </w:rPr>
        <w:t>1332.920284</w:t>
      </w:r>
      <w:r>
        <w:rPr>
          <w:rFonts w:hint="eastAsia" w:ascii="仿宋" w:hAnsi="仿宋" w:eastAsia="仿宋" w:cs="仿宋"/>
          <w:color w:val="000000" w:themeColor="text1"/>
          <w:sz w:val="32"/>
          <w:szCs w:val="32"/>
          <w14:textFill>
            <w14:solidFill>
              <w14:schemeClr w14:val="tx1"/>
            </w14:solidFill>
          </w14:textFill>
        </w:rPr>
        <w:t>万元，其中：1.工资福利支出</w:t>
      </w:r>
      <w:r>
        <w:rPr>
          <w:rFonts w:hint="eastAsia" w:ascii="宋体" w:hAnsi="宋体" w:cs="Arial"/>
          <w:color w:val="000000" w:themeColor="text1"/>
          <w:kern w:val="0"/>
          <w:sz w:val="32"/>
          <w:szCs w:val="32"/>
          <w14:textFill>
            <w14:solidFill>
              <w14:schemeClr w14:val="tx1"/>
            </w14:solidFill>
          </w14:textFill>
        </w:rPr>
        <w:t>1275.164107</w:t>
      </w:r>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themeColor="text1"/>
          <w:sz w:val="32"/>
          <w:szCs w:val="32"/>
          <w14:textFill>
            <w14:solidFill>
              <w14:schemeClr w14:val="tx1"/>
            </w14:solidFill>
          </w14:textFill>
        </w:rPr>
        <w:t>;2.商品和服务支出</w:t>
      </w:r>
      <w:r>
        <w:rPr>
          <w:rFonts w:hint="eastAsia" w:ascii="仿宋" w:hAnsi="仿宋" w:eastAsia="仿宋" w:cs="仿宋"/>
          <w:color w:val="000000" w:themeColor="text1"/>
          <w:kern w:val="0"/>
          <w:sz w:val="32"/>
          <w:szCs w:val="32"/>
          <w14:textFill>
            <w14:solidFill>
              <w14:schemeClr w14:val="tx1"/>
            </w14:solidFill>
          </w14:textFill>
        </w:rPr>
        <w:t>53.884777万</w:t>
      </w:r>
      <w:r>
        <w:rPr>
          <w:rFonts w:hint="eastAsia" w:ascii="仿宋" w:hAnsi="仿宋" w:eastAsia="仿宋" w:cs="仿宋"/>
          <w:color w:val="000000" w:themeColor="text1"/>
          <w:sz w:val="32"/>
          <w:szCs w:val="32"/>
          <w14:textFill>
            <w14:solidFill>
              <w14:schemeClr w14:val="tx1"/>
            </w14:solidFill>
          </w14:textFill>
        </w:rPr>
        <w:t>元;3.对个人和家庭补助支出2.7520万元；4.资本性支出1.1194万元。</w:t>
      </w:r>
    </w:p>
    <w:p>
      <w:pPr>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五、2022年政府性基金预算财政拨款支出决算情况说明</w:t>
      </w:r>
    </w:p>
    <w:p>
      <w:pPr>
        <w:ind w:firstLine="800" w:firstLineChars="2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2022年没有政府性基金预算财政拨款收入，也没有政府性基金预算财政拨款支出。</w:t>
      </w:r>
    </w:p>
    <w:p>
      <w:pPr>
        <w:ind w:firstLine="803" w:firstLineChars="25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六、2022年部门决算“三公”经费财政拨款支出情况说明</w:t>
      </w:r>
    </w:p>
    <w:p>
      <w:pPr>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2022年部门决算“三公”经费财政拨款支出0万元。其中：</w:t>
      </w:r>
    </w:p>
    <w:p>
      <w:pPr>
        <w:ind w:firstLine="640" w:firstLineChars="200"/>
        <w:rPr>
          <w:rFonts w:ascii="仿宋" w:hAnsi="仿宋" w:eastAsia="仿宋" w:cs="仿宋"/>
          <w:sz w:val="32"/>
          <w:szCs w:val="32"/>
        </w:rPr>
      </w:pPr>
      <w:r>
        <w:rPr>
          <w:rFonts w:hint="eastAsia" w:ascii="仿宋" w:hAnsi="仿宋" w:eastAsia="仿宋" w:cs="仿宋"/>
          <w:sz w:val="32"/>
          <w:szCs w:val="32"/>
        </w:rPr>
        <w:t>（一）因公出国（境）费0万元。</w:t>
      </w:r>
    </w:p>
    <w:p>
      <w:pPr>
        <w:ind w:firstLine="640" w:firstLineChars="200"/>
        <w:rPr>
          <w:rFonts w:ascii="仿宋" w:hAnsi="仿宋" w:eastAsia="仿宋" w:cs="仿宋"/>
          <w:sz w:val="32"/>
          <w:szCs w:val="32"/>
        </w:rPr>
      </w:pPr>
      <w:r>
        <w:rPr>
          <w:rFonts w:hint="eastAsia" w:ascii="仿宋" w:hAnsi="仿宋" w:eastAsia="仿宋" w:cs="仿宋"/>
          <w:sz w:val="32"/>
          <w:szCs w:val="32"/>
        </w:rPr>
        <w:t>（二）公务接待费0万元。</w:t>
      </w:r>
    </w:p>
    <w:p>
      <w:pPr>
        <w:ind w:firstLine="640" w:firstLineChars="200"/>
        <w:rPr>
          <w:rFonts w:ascii="仿宋" w:hAnsi="仿宋" w:eastAsia="仿宋" w:cs="仿宋"/>
          <w:sz w:val="32"/>
          <w:szCs w:val="32"/>
        </w:rPr>
      </w:pPr>
      <w:r>
        <w:rPr>
          <w:rFonts w:hint="eastAsia" w:ascii="仿宋" w:hAnsi="仿宋" w:eastAsia="仿宋" w:cs="仿宋"/>
          <w:sz w:val="32"/>
          <w:szCs w:val="32"/>
        </w:rPr>
        <w:t>（三）公务用车购置及运行维护费0万元。</w:t>
      </w:r>
    </w:p>
    <w:p>
      <w:pPr>
        <w:ind w:firstLine="803" w:firstLineChars="250"/>
        <w:rPr>
          <w:rFonts w:ascii="仿宋" w:hAnsi="仿宋" w:eastAsia="仿宋" w:cs="仿宋"/>
          <w:b/>
          <w:color w:val="000000"/>
          <w:sz w:val="32"/>
          <w:szCs w:val="32"/>
        </w:rPr>
      </w:pPr>
      <w:r>
        <w:rPr>
          <w:rFonts w:hint="eastAsia" w:ascii="仿宋" w:hAnsi="仿宋" w:eastAsia="仿宋" w:cs="仿宋"/>
          <w:b/>
          <w:color w:val="000000"/>
          <w:sz w:val="32"/>
          <w:szCs w:val="32"/>
        </w:rPr>
        <w:t>七、2022年其他重要事项的情况说明</w:t>
      </w:r>
    </w:p>
    <w:p>
      <w:pPr>
        <w:ind w:firstLine="480" w:firstLineChars="1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sz w:val="32"/>
          <w:szCs w:val="32"/>
        </w:rPr>
        <w:t>（</w:t>
      </w:r>
      <w:r>
        <w:rPr>
          <w:rFonts w:hint="eastAsia" w:ascii="仿宋" w:hAnsi="仿宋" w:eastAsia="仿宋" w:cs="仿宋"/>
          <w:color w:val="000000" w:themeColor="text1"/>
          <w:sz w:val="32"/>
          <w:szCs w:val="32"/>
          <w14:textFill>
            <w14:solidFill>
              <w14:schemeClr w14:val="tx1"/>
            </w14:solidFill>
          </w14:textFill>
        </w:rPr>
        <w:t>一）机关运行经费支出情况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2022年本部门履行一般行政事业管理职能、维持机关运行，用于一般公共预算安排的行政运行经费，合计55.004177万元，与2021年相比增加了42.64%。主要原因为2022年下半年单位迁址至西安门大街办公，原办公地址不需要负担水电费、电话费等，搬至新办公地址，需要负担上述费用及购置一些办公所需的物品，增加了机关运行经费的支出。</w:t>
      </w:r>
    </w:p>
    <w:p>
      <w:pPr>
        <w:spacing w:line="360" w:lineRule="auto"/>
        <w:ind w:firstLine="480" w:firstLineChars="1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（二）2022年涉及政府采购项目</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2022年涉及政府采购项目决算资金为</w:t>
      </w:r>
      <w:r>
        <w:rPr>
          <w:rFonts w:hint="eastAsia" w:ascii="仿宋" w:hAnsi="仿宋" w:eastAsia="仿宋" w:cs="仿宋"/>
          <w:color w:val="000000" w:themeColor="text1"/>
          <w:kern w:val="0"/>
          <w:sz w:val="32"/>
          <w:szCs w:val="32"/>
          <w14:textFill>
            <w14:solidFill>
              <w14:schemeClr w14:val="tx1"/>
            </w14:solidFill>
          </w14:textFill>
        </w:rPr>
        <w:t>32.8626万</w:t>
      </w:r>
      <w:r>
        <w:rPr>
          <w:rFonts w:hint="eastAsia" w:ascii="仿宋" w:hAnsi="仿宋" w:eastAsia="仿宋" w:cs="仿宋"/>
          <w:color w:val="000000" w:themeColor="text1"/>
          <w:sz w:val="32"/>
          <w:szCs w:val="32"/>
          <w14:textFill>
            <w14:solidFill>
              <w14:schemeClr w14:val="tx1"/>
            </w14:solidFill>
          </w14:textFill>
        </w:rPr>
        <w:t>元。其中：政府采购货物支出</w:t>
      </w:r>
      <w:r>
        <w:rPr>
          <w:rFonts w:hint="eastAsia" w:ascii="仿宋" w:hAnsi="仿宋" w:eastAsia="仿宋" w:cs="仿宋"/>
          <w:color w:val="000000" w:themeColor="text1"/>
          <w:kern w:val="0"/>
          <w:sz w:val="32"/>
          <w:szCs w:val="32"/>
          <w14:textFill>
            <w14:solidFill>
              <w14:schemeClr w14:val="tx1"/>
            </w14:solidFill>
          </w14:textFill>
        </w:rPr>
        <w:t>22.8626万</w:t>
      </w:r>
      <w:r>
        <w:rPr>
          <w:rFonts w:hint="eastAsia" w:ascii="仿宋" w:hAnsi="仿宋" w:eastAsia="仿宋" w:cs="仿宋"/>
          <w:color w:val="000000" w:themeColor="text1"/>
          <w:sz w:val="32"/>
          <w:szCs w:val="32"/>
          <w14:textFill>
            <w14:solidFill>
              <w14:schemeClr w14:val="tx1"/>
            </w14:solidFill>
          </w14:textFill>
        </w:rPr>
        <w:t>元，工程支出0万元，服务支出10万元。</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（三）2022年涉及政府购买服务项目</w:t>
      </w:r>
    </w:p>
    <w:p>
      <w:pPr>
        <w:ind w:firstLine="800" w:firstLineChars="2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2022年没有发生政府购买服务项目。</w:t>
      </w:r>
    </w:p>
    <w:p>
      <w:pPr>
        <w:spacing w:line="360" w:lineRule="auto"/>
        <w:ind w:firstLine="800" w:firstLineChars="2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（四）国有资产占用情况</w:t>
      </w:r>
    </w:p>
    <w:p>
      <w:pPr>
        <w:spacing w:line="360" w:lineRule="auto"/>
        <w:ind w:firstLine="800" w:firstLineChars="2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截止到2022年12月31日，我单位占用固定资产总额（原值）157.286972万元。</w:t>
      </w:r>
    </w:p>
    <w:p>
      <w:pPr>
        <w:spacing w:line="360" w:lineRule="auto"/>
        <w:ind w:firstLine="480" w:firstLineChars="150"/>
        <w:rPr>
          <w:rFonts w:ascii="仿宋" w:hAnsi="仿宋" w:eastAsia="仿宋" w:cs="仿宋"/>
          <w:color w:val="000000"/>
          <w:sz w:val="32"/>
          <w:szCs w:val="32"/>
        </w:rPr>
      </w:pPr>
      <w:r>
        <w:rPr>
          <w:rFonts w:hint="eastAsia" w:ascii="仿宋" w:hAnsi="仿宋" w:eastAsia="仿宋" w:cs="仿宋"/>
          <w:color w:val="000000"/>
          <w:sz w:val="32"/>
          <w:szCs w:val="32"/>
        </w:rPr>
        <w:t>（五）国有资本经营预算拨款收支情况</w:t>
      </w:r>
    </w:p>
    <w:p>
      <w:pPr>
        <w:spacing w:line="360" w:lineRule="auto"/>
        <w:ind w:firstLine="800" w:firstLineChars="250"/>
        <w:rPr>
          <w:rFonts w:ascii="仿宋" w:hAnsi="仿宋" w:eastAsia="仿宋" w:cs="仿宋"/>
          <w:color w:val="000000"/>
          <w:sz w:val="32"/>
          <w:szCs w:val="32"/>
        </w:rPr>
      </w:pPr>
      <w:r>
        <w:rPr>
          <w:rFonts w:hint="eastAsia" w:ascii="仿宋" w:hAnsi="仿宋" w:eastAsia="仿宋" w:cs="仿宋"/>
          <w:color w:val="000000"/>
          <w:sz w:val="32"/>
          <w:szCs w:val="32"/>
        </w:rPr>
        <w:t>无此项收支</w:t>
      </w:r>
    </w:p>
    <w:p>
      <w:pPr>
        <w:spacing w:line="360" w:lineRule="auto"/>
        <w:ind w:firstLine="480" w:firstLineChars="150"/>
        <w:rPr>
          <w:rFonts w:ascii="仿宋" w:hAnsi="仿宋" w:eastAsia="仿宋" w:cs="仿宋"/>
          <w:color w:val="000000"/>
          <w:sz w:val="32"/>
          <w:szCs w:val="32"/>
        </w:rPr>
      </w:pPr>
      <w:r>
        <w:rPr>
          <w:rFonts w:hint="eastAsia" w:ascii="仿宋" w:hAnsi="仿宋" w:eastAsia="仿宋" w:cs="仿宋"/>
          <w:color w:val="000000"/>
          <w:sz w:val="32"/>
          <w:szCs w:val="32"/>
        </w:rPr>
        <w:t>（六）绩效目标开展情况</w:t>
      </w:r>
    </w:p>
    <w:p>
      <w:pPr>
        <w:spacing w:line="360" w:lineRule="auto"/>
        <w:ind w:firstLine="480" w:firstLineChars="1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2022年对11个项目开展了绩效跟踪，绩效跟踪预算金额188.230257万元，总体情况良好。</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八、专业名词解释</w:t>
      </w:r>
    </w:p>
    <w:p>
      <w:pPr>
        <w:ind w:firstLine="640" w:firstLineChars="200"/>
        <w:rPr>
          <w:rFonts w:ascii="仿宋" w:hAnsi="仿宋" w:eastAsia="仿宋" w:cs="仿宋"/>
          <w:sz w:val="32"/>
          <w:szCs w:val="32"/>
        </w:rPr>
      </w:pPr>
      <w:r>
        <w:rPr>
          <w:rFonts w:hint="eastAsia" w:ascii="仿宋" w:hAnsi="仿宋" w:eastAsia="仿宋" w:cs="仿宋"/>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单位按规定保留的公务用车燃料费、维修费、过桥过路费、保险费、安全奖励费用等支出；公务接待费指单位按规定开支的各类公务接待（含外宾接待）费用。</w:t>
      </w:r>
    </w:p>
    <w:p>
      <w:pPr>
        <w:ind w:firstLine="640" w:firstLineChars="200"/>
        <w:rPr>
          <w:rFonts w:ascii="仿宋" w:hAnsi="仿宋" w:eastAsia="仿宋" w:cs="仿宋"/>
          <w:sz w:val="32"/>
          <w:szCs w:val="32"/>
        </w:rPr>
      </w:pPr>
      <w:r>
        <w:rPr>
          <w:rFonts w:hint="eastAsia" w:ascii="仿宋" w:hAnsi="仿宋" w:eastAsia="仿宋" w:cs="仿宋"/>
          <w:sz w:val="32"/>
          <w:szCs w:val="32"/>
        </w:rPr>
        <w:t>2.机关运行经费：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第二部分2022年部门决算报表</w:t>
      </w:r>
    </w:p>
    <w:p/>
    <w:p/>
    <w:p/>
    <w:p>
      <w:pPr>
        <w:tabs>
          <w:tab w:val="left" w:pos="2259"/>
        </w:tabs>
      </w:pPr>
    </w:p>
    <w:p>
      <w:pPr>
        <w:tabs>
          <w:tab w:val="left" w:pos="2259"/>
        </w:tabs>
      </w:pPr>
    </w:p>
    <w:p>
      <w:pPr>
        <w:tabs>
          <w:tab w:val="left" w:pos="2259"/>
        </w:tabs>
      </w:pPr>
      <w:r>
        <w:drawing>
          <wp:inline distT="0" distB="0" distL="114300" distR="114300">
            <wp:extent cx="5494655" cy="6260465"/>
            <wp:effectExtent l="0" t="0" r="10795" b="698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4"/>
                    <a:stretch>
                      <a:fillRect/>
                    </a:stretch>
                  </pic:blipFill>
                  <pic:spPr>
                    <a:xfrm>
                      <a:off x="0" y="0"/>
                      <a:ext cx="5494655" cy="6260465"/>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rPr>
          <w:rFonts w:hint="eastAsia" w:eastAsia="宋体"/>
          <w:lang w:val="en-US" w:eastAsia="zh-CN"/>
        </w:rPr>
      </w:pPr>
    </w:p>
    <w:p>
      <w:pPr>
        <w:tabs>
          <w:tab w:val="left" w:pos="2259"/>
        </w:tabs>
        <w:rPr>
          <w:rFonts w:hint="eastAsia" w:eastAsia="宋体"/>
          <w:lang w:val="en-US" w:eastAsia="zh-CN"/>
        </w:rPr>
      </w:pPr>
    </w:p>
    <w:p>
      <w:pPr>
        <w:tabs>
          <w:tab w:val="left" w:pos="2259"/>
        </w:tabs>
      </w:pPr>
      <w:r>
        <w:drawing>
          <wp:inline distT="0" distB="0" distL="114300" distR="114300">
            <wp:extent cx="5470525" cy="5226050"/>
            <wp:effectExtent l="0" t="0" r="15875"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5"/>
                    <a:stretch>
                      <a:fillRect/>
                    </a:stretch>
                  </pic:blipFill>
                  <pic:spPr>
                    <a:xfrm>
                      <a:off x="0" y="0"/>
                      <a:ext cx="5470525" cy="5226050"/>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503545" cy="5873115"/>
            <wp:effectExtent l="0" t="0" r="1905" b="1333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6"/>
                    <a:stretch>
                      <a:fillRect/>
                    </a:stretch>
                  </pic:blipFill>
                  <pic:spPr>
                    <a:xfrm>
                      <a:off x="0" y="0"/>
                      <a:ext cx="5503545" cy="5873115"/>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495925" cy="5717540"/>
            <wp:effectExtent l="0" t="0" r="9525" b="1651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7"/>
                    <a:stretch>
                      <a:fillRect/>
                    </a:stretch>
                  </pic:blipFill>
                  <pic:spPr>
                    <a:xfrm>
                      <a:off x="0" y="0"/>
                      <a:ext cx="5495925" cy="5717540"/>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328285" cy="5716270"/>
            <wp:effectExtent l="0" t="0" r="5715" b="1778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8"/>
                    <a:stretch>
                      <a:fillRect/>
                    </a:stretch>
                  </pic:blipFill>
                  <pic:spPr>
                    <a:xfrm>
                      <a:off x="0" y="0"/>
                      <a:ext cx="5328285" cy="5716270"/>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361940" cy="6025515"/>
            <wp:effectExtent l="0" t="0" r="1016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361940" cy="6025515"/>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bookmarkStart w:id="0" w:name="_GoBack"/>
      <w:bookmarkEnd w:id="0"/>
      <w:r>
        <w:drawing>
          <wp:inline distT="0" distB="0" distL="114300" distR="114300">
            <wp:extent cx="5357495" cy="5918200"/>
            <wp:effectExtent l="0" t="0" r="14605" b="635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0"/>
                    <a:stretch>
                      <a:fillRect/>
                    </a:stretch>
                  </pic:blipFill>
                  <pic:spPr>
                    <a:xfrm>
                      <a:off x="0" y="0"/>
                      <a:ext cx="5357495" cy="5918200"/>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375275" cy="1530350"/>
            <wp:effectExtent l="0" t="0" r="15875" b="1270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1"/>
                    <a:stretch>
                      <a:fillRect/>
                    </a:stretch>
                  </pic:blipFill>
                  <pic:spPr>
                    <a:xfrm>
                      <a:off x="0" y="0"/>
                      <a:ext cx="5375275" cy="1530350"/>
                    </a:xfrm>
                    <a:prstGeom prst="rect">
                      <a:avLst/>
                    </a:prstGeom>
                    <a:noFill/>
                    <a:ln>
                      <a:noFill/>
                    </a:ln>
                  </pic:spPr>
                </pic:pic>
              </a:graphicData>
            </a:graphic>
          </wp:inline>
        </w:drawing>
      </w:r>
    </w:p>
    <w:p>
      <w:pPr>
        <w:tabs>
          <w:tab w:val="left" w:pos="2259"/>
        </w:tabs>
      </w:pPr>
    </w:p>
    <w:p>
      <w:pPr>
        <w:tabs>
          <w:tab w:val="left" w:pos="2259"/>
        </w:tabs>
        <w:rPr>
          <w:rFonts w:hint="eastAsia" w:eastAsia="宋体"/>
          <w:lang w:val="en-US" w:eastAsia="zh-CN"/>
        </w:rPr>
      </w:pPr>
    </w:p>
    <w:p>
      <w:pPr>
        <w:tabs>
          <w:tab w:val="left" w:pos="2259"/>
        </w:tabs>
        <w:rPr>
          <w:rFonts w:hint="eastAsia" w:eastAsia="宋体"/>
          <w:lang w:val="en-US" w:eastAsia="zh-CN"/>
        </w:rPr>
      </w:pPr>
    </w:p>
    <w:p>
      <w:pPr>
        <w:tabs>
          <w:tab w:val="left" w:pos="2259"/>
        </w:tabs>
      </w:pPr>
      <w:r>
        <w:drawing>
          <wp:inline distT="0" distB="0" distL="114300" distR="114300">
            <wp:extent cx="5351780" cy="4880610"/>
            <wp:effectExtent l="0" t="0" r="1270" b="1524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2"/>
                    <a:stretch>
                      <a:fillRect/>
                    </a:stretch>
                  </pic:blipFill>
                  <pic:spPr>
                    <a:xfrm>
                      <a:off x="0" y="0"/>
                      <a:ext cx="5351780" cy="4880610"/>
                    </a:xfrm>
                    <a:prstGeom prst="rect">
                      <a:avLst/>
                    </a:prstGeom>
                    <a:noFill/>
                    <a:ln>
                      <a:noFill/>
                    </a:ln>
                  </pic:spPr>
                </pic:pic>
              </a:graphicData>
            </a:graphic>
          </wp:inline>
        </w:drawing>
      </w:r>
    </w:p>
    <w:p>
      <w:pPr>
        <w:tabs>
          <w:tab w:val="left" w:pos="2259"/>
        </w:tabs>
      </w:pPr>
    </w:p>
    <w:p>
      <w:pPr>
        <w:tabs>
          <w:tab w:val="left" w:pos="2259"/>
        </w:tabs>
        <w:rPr>
          <w:rFonts w:hint="eastAsia"/>
        </w:rPr>
      </w:pPr>
    </w:p>
    <w:p>
      <w:pPr>
        <w:tabs>
          <w:tab w:val="left" w:pos="2259"/>
        </w:tabs>
        <w:rPr>
          <w:rFonts w:hint="eastAsia"/>
        </w:rPr>
      </w:pPr>
    </w:p>
    <w:p>
      <w:pPr>
        <w:tabs>
          <w:tab w:val="left" w:pos="2259"/>
        </w:tabs>
        <w:rPr>
          <w:rFonts w:hint="eastAsia"/>
        </w:rPr>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413375" cy="1762760"/>
            <wp:effectExtent l="0" t="0" r="15875" b="889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3"/>
                    <a:stretch>
                      <a:fillRect/>
                    </a:stretch>
                  </pic:blipFill>
                  <pic:spPr>
                    <a:xfrm>
                      <a:off x="0" y="0"/>
                      <a:ext cx="5413375" cy="1762760"/>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r>
        <w:drawing>
          <wp:inline distT="0" distB="0" distL="114300" distR="114300">
            <wp:extent cx="5426075" cy="2196465"/>
            <wp:effectExtent l="0" t="0" r="3175" b="1333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4"/>
                    <a:stretch>
                      <a:fillRect/>
                    </a:stretch>
                  </pic:blipFill>
                  <pic:spPr>
                    <a:xfrm>
                      <a:off x="0" y="0"/>
                      <a:ext cx="5426075" cy="2196465"/>
                    </a:xfrm>
                    <a:prstGeom prst="rect">
                      <a:avLst/>
                    </a:prstGeom>
                    <a:noFill/>
                    <a:ln>
                      <a:noFill/>
                    </a:ln>
                  </pic:spPr>
                </pic:pic>
              </a:graphicData>
            </a:graphic>
          </wp:inline>
        </w:drawing>
      </w:r>
    </w:p>
    <w:p>
      <w:pPr>
        <w:tabs>
          <w:tab w:val="left" w:pos="2259"/>
        </w:tabs>
      </w:pPr>
    </w:p>
    <w:p>
      <w:pPr>
        <w:tabs>
          <w:tab w:val="left" w:pos="2259"/>
        </w:tabs>
      </w:pPr>
    </w:p>
    <w:p>
      <w:pPr>
        <w:tabs>
          <w:tab w:val="left" w:pos="2259"/>
        </w:tabs>
      </w:pPr>
      <w:r>
        <w:drawing>
          <wp:inline distT="0" distB="0" distL="114300" distR="114300">
            <wp:extent cx="5422265" cy="2522220"/>
            <wp:effectExtent l="0" t="0" r="6985" b="1143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5"/>
                    <a:stretch>
                      <a:fillRect/>
                    </a:stretch>
                  </pic:blipFill>
                  <pic:spPr>
                    <a:xfrm>
                      <a:off x="0" y="0"/>
                      <a:ext cx="5422265" cy="2522220"/>
                    </a:xfrm>
                    <a:prstGeom prst="rect">
                      <a:avLst/>
                    </a:prstGeom>
                    <a:noFill/>
                    <a:ln>
                      <a:noFill/>
                    </a:ln>
                  </pic:spPr>
                </pic:pic>
              </a:graphicData>
            </a:graphic>
          </wp:inline>
        </w:drawing>
      </w:r>
    </w:p>
    <w:p>
      <w:pPr>
        <w:tabs>
          <w:tab w:val="left" w:pos="2259"/>
        </w:tabs>
      </w:pPr>
    </w:p>
    <w:p>
      <w:pPr>
        <w:tabs>
          <w:tab w:val="left" w:pos="2259"/>
        </w:tabs>
      </w:pPr>
    </w:p>
    <w:p>
      <w:pPr>
        <w:tabs>
          <w:tab w:val="left" w:pos="2259"/>
        </w:tabs>
      </w:pPr>
    </w:p>
    <w:p>
      <w:pPr>
        <w:tabs>
          <w:tab w:val="left" w:pos="2259"/>
        </w:tabs>
      </w:pPr>
    </w:p>
    <w:p>
      <w:pPr>
        <w:tabs>
          <w:tab w:val="left" w:pos="2259"/>
        </w:tabs>
      </w:pPr>
      <w:r>
        <w:drawing>
          <wp:inline distT="0" distB="0" distL="114300" distR="114300">
            <wp:extent cx="5344795" cy="7797800"/>
            <wp:effectExtent l="0" t="0" r="8255" b="1270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6"/>
                    <a:stretch>
                      <a:fillRect/>
                    </a:stretch>
                  </pic:blipFill>
                  <pic:spPr>
                    <a:xfrm>
                      <a:off x="0" y="0"/>
                      <a:ext cx="5344795" cy="7797800"/>
                    </a:xfrm>
                    <a:prstGeom prst="rect">
                      <a:avLst/>
                    </a:prstGeom>
                    <a:noFill/>
                    <a:ln>
                      <a:noFill/>
                    </a:ln>
                  </pic:spPr>
                </pic:pic>
              </a:graphicData>
            </a:graphic>
          </wp:inline>
        </w:drawing>
      </w:r>
    </w:p>
    <w:p>
      <w:pPr>
        <w:tabs>
          <w:tab w:val="left" w:pos="2259"/>
        </w:tabs>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DE9FE"/>
    <w:multiLevelType w:val="singleLevel"/>
    <w:tmpl w:val="3DADE9FE"/>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F62"/>
    <w:rsid w:val="000B777B"/>
    <w:rsid w:val="000D0DE4"/>
    <w:rsid w:val="0010734E"/>
    <w:rsid w:val="00110262"/>
    <w:rsid w:val="00123870"/>
    <w:rsid w:val="00137BC5"/>
    <w:rsid w:val="00161267"/>
    <w:rsid w:val="00175EDF"/>
    <w:rsid w:val="00187989"/>
    <w:rsid w:val="001B0812"/>
    <w:rsid w:val="001C36C8"/>
    <w:rsid w:val="001E3292"/>
    <w:rsid w:val="001F17E0"/>
    <w:rsid w:val="002131EA"/>
    <w:rsid w:val="00216613"/>
    <w:rsid w:val="00226BBB"/>
    <w:rsid w:val="00241643"/>
    <w:rsid w:val="002577D0"/>
    <w:rsid w:val="0029022A"/>
    <w:rsid w:val="002949B5"/>
    <w:rsid w:val="002B0E81"/>
    <w:rsid w:val="002D4C60"/>
    <w:rsid w:val="002E3F5E"/>
    <w:rsid w:val="002E43E2"/>
    <w:rsid w:val="0034629F"/>
    <w:rsid w:val="003514A0"/>
    <w:rsid w:val="003B01D8"/>
    <w:rsid w:val="003B3ECC"/>
    <w:rsid w:val="003B4B81"/>
    <w:rsid w:val="003E3FC4"/>
    <w:rsid w:val="003F0637"/>
    <w:rsid w:val="00423E15"/>
    <w:rsid w:val="00470233"/>
    <w:rsid w:val="00480D56"/>
    <w:rsid w:val="004A1406"/>
    <w:rsid w:val="004A1437"/>
    <w:rsid w:val="004B0A7A"/>
    <w:rsid w:val="004D0DCD"/>
    <w:rsid w:val="004F50FB"/>
    <w:rsid w:val="0052186C"/>
    <w:rsid w:val="00536D3E"/>
    <w:rsid w:val="00540861"/>
    <w:rsid w:val="005430C3"/>
    <w:rsid w:val="005550DE"/>
    <w:rsid w:val="005707DC"/>
    <w:rsid w:val="005959A1"/>
    <w:rsid w:val="006217E3"/>
    <w:rsid w:val="00622ADB"/>
    <w:rsid w:val="00653829"/>
    <w:rsid w:val="00655D08"/>
    <w:rsid w:val="00665F20"/>
    <w:rsid w:val="00666F1A"/>
    <w:rsid w:val="00682A6B"/>
    <w:rsid w:val="00685AB1"/>
    <w:rsid w:val="006A6EAD"/>
    <w:rsid w:val="006B48F7"/>
    <w:rsid w:val="006D4A8B"/>
    <w:rsid w:val="006F0A83"/>
    <w:rsid w:val="006F300E"/>
    <w:rsid w:val="006F3EE8"/>
    <w:rsid w:val="00704310"/>
    <w:rsid w:val="007060CF"/>
    <w:rsid w:val="007065FF"/>
    <w:rsid w:val="00717B8A"/>
    <w:rsid w:val="00737592"/>
    <w:rsid w:val="007901A6"/>
    <w:rsid w:val="00817161"/>
    <w:rsid w:val="00822DD4"/>
    <w:rsid w:val="00831126"/>
    <w:rsid w:val="00851DFB"/>
    <w:rsid w:val="00861DFC"/>
    <w:rsid w:val="008C52ED"/>
    <w:rsid w:val="008C6439"/>
    <w:rsid w:val="008F6A4A"/>
    <w:rsid w:val="009007E9"/>
    <w:rsid w:val="0090432A"/>
    <w:rsid w:val="00915E6A"/>
    <w:rsid w:val="00953E6B"/>
    <w:rsid w:val="0096719E"/>
    <w:rsid w:val="00986A75"/>
    <w:rsid w:val="009A375C"/>
    <w:rsid w:val="009C36E8"/>
    <w:rsid w:val="009F4B5F"/>
    <w:rsid w:val="00A0026F"/>
    <w:rsid w:val="00A128FC"/>
    <w:rsid w:val="00A31AD0"/>
    <w:rsid w:val="00A372ED"/>
    <w:rsid w:val="00A40966"/>
    <w:rsid w:val="00A52320"/>
    <w:rsid w:val="00A767BB"/>
    <w:rsid w:val="00A82545"/>
    <w:rsid w:val="00A95E45"/>
    <w:rsid w:val="00AD3887"/>
    <w:rsid w:val="00AD56B8"/>
    <w:rsid w:val="00AF673C"/>
    <w:rsid w:val="00B31F07"/>
    <w:rsid w:val="00B413AB"/>
    <w:rsid w:val="00B431E4"/>
    <w:rsid w:val="00B47505"/>
    <w:rsid w:val="00B6368C"/>
    <w:rsid w:val="00B67E04"/>
    <w:rsid w:val="00B72556"/>
    <w:rsid w:val="00B74080"/>
    <w:rsid w:val="00B93A86"/>
    <w:rsid w:val="00B943EC"/>
    <w:rsid w:val="00B96CC2"/>
    <w:rsid w:val="00BA0B3F"/>
    <w:rsid w:val="00BA4FAC"/>
    <w:rsid w:val="00BB2642"/>
    <w:rsid w:val="00BB2F9F"/>
    <w:rsid w:val="00C45C15"/>
    <w:rsid w:val="00C87D3B"/>
    <w:rsid w:val="00CB3353"/>
    <w:rsid w:val="00CB646C"/>
    <w:rsid w:val="00CB683F"/>
    <w:rsid w:val="00CE6778"/>
    <w:rsid w:val="00CF2ABF"/>
    <w:rsid w:val="00CF6C17"/>
    <w:rsid w:val="00D050DF"/>
    <w:rsid w:val="00D2570C"/>
    <w:rsid w:val="00D302CE"/>
    <w:rsid w:val="00D878BA"/>
    <w:rsid w:val="00D9301D"/>
    <w:rsid w:val="00DB3F2E"/>
    <w:rsid w:val="00DC1C74"/>
    <w:rsid w:val="00DC589E"/>
    <w:rsid w:val="00DD0052"/>
    <w:rsid w:val="00E0773B"/>
    <w:rsid w:val="00E36131"/>
    <w:rsid w:val="00E57145"/>
    <w:rsid w:val="00E74EAA"/>
    <w:rsid w:val="00EC75E4"/>
    <w:rsid w:val="00ED7E54"/>
    <w:rsid w:val="00EF0A68"/>
    <w:rsid w:val="00F33758"/>
    <w:rsid w:val="00F47CE3"/>
    <w:rsid w:val="00F73C8A"/>
    <w:rsid w:val="00F8702D"/>
    <w:rsid w:val="00F9454A"/>
    <w:rsid w:val="00F958B1"/>
    <w:rsid w:val="00FD663D"/>
    <w:rsid w:val="00FF0E48"/>
    <w:rsid w:val="05BF336F"/>
    <w:rsid w:val="0709215C"/>
    <w:rsid w:val="1B6C2EE3"/>
    <w:rsid w:val="20DE2845"/>
    <w:rsid w:val="359F59F9"/>
    <w:rsid w:val="44A41353"/>
    <w:rsid w:val="47110A07"/>
    <w:rsid w:val="55AF7BB5"/>
    <w:rsid w:val="57616314"/>
    <w:rsid w:val="5AE038FC"/>
    <w:rsid w:val="60FB1AC4"/>
    <w:rsid w:val="72E02F6B"/>
    <w:rsid w:val="75950797"/>
    <w:rsid w:val="78CD4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批注框文本 Char"/>
    <w:basedOn w:val="6"/>
    <w:link w:val="2"/>
    <w:qFormat/>
    <w:uiPriority w:val="0"/>
    <w:rPr>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5158E0-1D78-4BFA-B228-48D42E9DB5A8}">
  <ds:schemaRefs/>
</ds:datastoreItem>
</file>

<file path=docProps/app.xml><?xml version="1.0" encoding="utf-8"?>
<Properties xmlns="http://schemas.openxmlformats.org/officeDocument/2006/extended-properties" xmlns:vt="http://schemas.openxmlformats.org/officeDocument/2006/docPropsVTypes">
  <Template>Normal</Template>
  <Pages>7</Pages>
  <Words>375</Words>
  <Characters>2140</Characters>
  <Lines>17</Lines>
  <Paragraphs>5</Paragraphs>
  <TotalTime>3</TotalTime>
  <ScaleCrop>false</ScaleCrop>
  <LinksUpToDate>false</LinksUpToDate>
  <CharactersWithSpaces>2510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2022-08-24T01:47:00Z</dcterms:created>
  <dc:creator>北京市西城区文化和旅游局（主管）</dc:creator>
  <cp:lastModifiedBy>Administrator</cp:lastModifiedBy>
  <cp:lastPrinted>2023-08-18T06:49:00Z</cp:lastPrinted>
  <dcterms:modified xsi:type="dcterms:W3CDTF">2023-08-23T03:03:23Z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