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/>
          <w:b/>
          <w:sz w:val="36"/>
          <w:szCs w:val="36"/>
        </w:rPr>
      </w:pPr>
    </w:p>
    <w:p>
      <w:pPr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北京宣南</w:t>
      </w:r>
      <w:r>
        <w:rPr>
          <w:rFonts w:ascii="仿宋_GB2312"/>
          <w:b/>
          <w:sz w:val="36"/>
          <w:szCs w:val="36"/>
        </w:rPr>
        <w:t>文化博物馆管理处</w:t>
      </w:r>
    </w:p>
    <w:p>
      <w:pPr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202</w:t>
      </w:r>
      <w:r>
        <w:rPr>
          <w:rFonts w:ascii="仿宋_GB2312"/>
          <w:b/>
          <w:sz w:val="36"/>
          <w:szCs w:val="36"/>
        </w:rPr>
        <w:t>2</w:t>
      </w:r>
      <w:r>
        <w:rPr>
          <w:rFonts w:hint="eastAsia" w:ascii="仿宋_GB2312"/>
          <w:b/>
          <w:sz w:val="36"/>
          <w:szCs w:val="36"/>
        </w:rPr>
        <w:t>年部门决算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outlineLvl w:val="0"/>
        <w:rPr>
          <w:rFonts w:hint="eastAsia" w:ascii="仿宋_GB2312" w:hAnsi="Times New Roman" w:eastAsia="宋体" w:cs="宋体"/>
          <w:b/>
          <w:bCs w:val="0"/>
          <w:kern w:val="2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outlineLvl w:val="0"/>
        <w:rPr>
          <w:rFonts w:hint="eastAsia" w:ascii="仿宋_GB2312" w:eastAsia="宋体" w:cs="仿宋_GB2312"/>
          <w:b/>
          <w:bCs w:val="0"/>
          <w:sz w:val="36"/>
          <w:szCs w:val="36"/>
          <w:lang w:val="en-US"/>
        </w:rPr>
      </w:pPr>
      <w:r>
        <w:rPr>
          <w:rFonts w:hint="eastAsia" w:ascii="仿宋_GB2312" w:hAnsi="Times New Roman" w:eastAsia="宋体" w:cs="宋体"/>
          <w:b/>
          <w:bCs w:val="0"/>
          <w:kern w:val="2"/>
          <w:sz w:val="36"/>
          <w:szCs w:val="36"/>
          <w:lang w:val="en-US" w:eastAsia="zh-CN" w:bidi="ar"/>
        </w:rPr>
        <w:t>目</w:t>
      </w:r>
      <w:r>
        <w:rPr>
          <w:rFonts w:hint="eastAsia" w:ascii="仿宋_GB2312" w:hAnsi="Times New Roman" w:eastAsia="宋体" w:cs="仿宋_GB2312"/>
          <w:b/>
          <w:bCs w:val="0"/>
          <w:kern w:val="2"/>
          <w:sz w:val="36"/>
          <w:szCs w:val="36"/>
          <w:lang w:val="en-US" w:eastAsia="zh-CN" w:bidi="ar"/>
        </w:rPr>
        <w:t xml:space="preserve">  </w:t>
      </w:r>
      <w:r>
        <w:rPr>
          <w:rFonts w:hint="eastAsia" w:ascii="仿宋_GB2312" w:hAnsi="Times New Roman" w:eastAsia="宋体" w:cs="宋体"/>
          <w:b/>
          <w:bCs w:val="0"/>
          <w:kern w:val="2"/>
          <w:sz w:val="36"/>
          <w:szCs w:val="36"/>
          <w:lang w:val="en-US" w:eastAsia="zh-CN" w:bidi="ar"/>
        </w:rPr>
        <w:t>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outlineLvl w:val="0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outlineLvl w:val="0"/>
        <w:rPr>
          <w:rFonts w:hint="eastAsia" w:ascii="仿宋_GB2312" w:eastAsia="宋体" w:cs="仿宋_GB2312"/>
          <w:b/>
          <w:sz w:val="40"/>
          <w:szCs w:val="40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第一部分 2022年度部门决算说明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第二部分 2022年度部门决算报表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一、收入支出决算总表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二、收入决算表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三、支出决算表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四、财政拨款收入支出决算总表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五、一般公共预算财政拨款收入支出决算表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六、一般公共预算财政拨款支出决算表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七、一般公共预算财政拨款基本支出决算表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八、政府性基金预算财政拨款收入支出决算表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九、政府性基金预算财政拨款基本支出决算表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十、国有资本经营预算财政拨款支出决算表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十一、财政拨款“三公”经费支出决算表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20" w:firstLineChars="200"/>
        <w:jc w:val="both"/>
        <w:textAlignment w:val="auto"/>
        <w:rPr>
          <w:rFonts w:hint="eastAsia" w:ascii="仿宋_GB2312" w:eastAsia="仿宋_GB2312" w:cs="仿宋_GB2312"/>
          <w:color w:val="404040"/>
          <w:sz w:val="36"/>
          <w:szCs w:val="36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>十二、政府采购情况表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sz w:val="22"/>
          <w:szCs w:val="22"/>
          <w:lang w:val="en-US"/>
        </w:rPr>
      </w:pPr>
      <w:r>
        <w:rPr>
          <w:rFonts w:hint="eastAsia" w:ascii="仿宋_GB2312" w:hAnsi="Times New Roman" w:eastAsia="仿宋_GB2312" w:cs="仿宋_GB2312"/>
          <w:color w:val="404040"/>
          <w:kern w:val="2"/>
          <w:sz w:val="36"/>
          <w:szCs w:val="36"/>
          <w:lang w:val="en-US" w:eastAsia="zh-CN" w:bidi="ar"/>
        </w:rPr>
        <w:t xml:space="preserve">    十三、政府购买服务决算公开情况表</w:t>
      </w:r>
    </w:p>
    <w:p>
      <w:pPr>
        <w:jc w:val="center"/>
        <w:outlineLvl w:val="0"/>
        <w:rPr>
          <w:rFonts w:ascii="仿宋_GB2312"/>
          <w:b/>
          <w:sz w:val="36"/>
          <w:szCs w:val="36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304" w:right="1797" w:bottom="1077" w:left="1797" w:header="851" w:footer="992" w:gutter="0"/>
          <w:cols w:space="720" w:num="1"/>
          <w:docGrid w:linePitch="312" w:charSpace="0"/>
        </w:sectPr>
      </w:pPr>
    </w:p>
    <w:p>
      <w:pPr>
        <w:jc w:val="center"/>
        <w:outlineLvl w:val="0"/>
        <w:rPr>
          <w:rFonts w:asci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第</w:t>
      </w:r>
      <w:r>
        <w:rPr>
          <w:rFonts w:hint="eastAsia" w:ascii="黑体" w:eastAsia="黑体"/>
          <w:sz w:val="36"/>
          <w:szCs w:val="36"/>
          <w:lang w:val="en-US" w:eastAsia="zh-CN"/>
        </w:rPr>
        <w:t>一</w:t>
      </w:r>
      <w:r>
        <w:rPr>
          <w:rFonts w:hint="eastAsia" w:ascii="黑体" w:eastAsia="黑体"/>
          <w:sz w:val="36"/>
          <w:szCs w:val="36"/>
        </w:rPr>
        <w:t>部分    202</w:t>
      </w:r>
      <w:r>
        <w:rPr>
          <w:rFonts w:ascii="黑体" w:eastAsia="黑体"/>
          <w:sz w:val="36"/>
          <w:szCs w:val="36"/>
        </w:rPr>
        <w:t>2</w:t>
      </w:r>
      <w:r>
        <w:rPr>
          <w:rFonts w:hint="eastAsia" w:ascii="黑体" w:eastAsia="黑体"/>
          <w:sz w:val="36"/>
          <w:szCs w:val="36"/>
        </w:rPr>
        <w:t>年部门决算说明</w:t>
      </w:r>
    </w:p>
    <w:p>
      <w:pPr>
        <w:jc w:val="center"/>
        <w:outlineLvl w:val="0"/>
        <w:rPr>
          <w:rFonts w:ascii="黑体" w:eastAsia="黑体"/>
          <w:sz w:val="36"/>
          <w:szCs w:val="36"/>
        </w:rPr>
      </w:pPr>
    </w:p>
    <w:p>
      <w:pPr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一、部门基本情况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（一）部门职责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我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负责北京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宣南文化博物馆（北京长椿寺）的对外开放、保护管理、维护修缮、藏品保管和宣传陈列等工作。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（二）人员构成及内设机构情况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我单位下设两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个部门，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编制8人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，实有6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。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</w:p>
    <w:p>
      <w:pPr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二、202</w:t>
      </w:r>
      <w: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年收入支出决算总体情况说明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年收入决算490.137234万元，其中：财政拨款490.137234万元，事业收入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万元，其他收入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万元。与年初收入预算相比减少了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%，减少主要原因是我单位有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未开启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工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程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。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年支出决算为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498.937234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，与年初支出预算相比减少了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%，减少主要原因是我单位有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未开启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工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程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。其中：基本支出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193.130654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万元，占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38.7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%；项目支出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305.80658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万元，占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61.3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%。</w:t>
      </w:r>
    </w:p>
    <w:p>
      <w:pPr>
        <w:ind w:firstLine="960" w:firstLineChars="3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年年末结转和结余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万元。</w:t>
      </w:r>
    </w:p>
    <w:p>
      <w:pPr>
        <w:ind w:firstLine="960" w:firstLineChars="3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</w:p>
    <w:p>
      <w:pPr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三、202</w:t>
      </w:r>
      <w: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年一般公共预算财政拨款支出决算情况说明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一般公共预算财政拨款支出决算总体情况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ascii="仿宋_GB2312" w:hAnsi="仿宋_GB2312" w:eastAsia="仿宋_GB2312" w:cs="仿宋_GB2312"/>
          <w:color w:val="40404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年一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般公共预算财政拨款支出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数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为：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490.137234万元。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年一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般公共预算财政拨款支出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数为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：1207.093972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万元，相比减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少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了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59.39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%，减少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主要原因是我单位2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022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展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览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展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微调阶段，相比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工程款有减少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（二）一般公共预算财政拨款支出决算具体情况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ascii="仿宋_GB2312" w:hAnsi="仿宋_GB2312" w:eastAsia="仿宋_GB2312" w:cs="仿宋_GB2312"/>
          <w:color w:val="40404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年一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般公共预算财政拨款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基本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支出：193.130654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万元，20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基本支出：220.487936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，相比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减少了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：12.41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%，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主要原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因为202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人员比2021年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减少一人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。202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项目支出：305.80658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万元，20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年项目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支出986.606036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，相比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减少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69.01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%，主要原因是我单位2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022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展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览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展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微调阶段，相比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工程款有减少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。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四、202</w:t>
      </w:r>
      <w: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年一般公共预算财政拨款基本支出决算情况说明</w:t>
      </w:r>
    </w:p>
    <w:p>
      <w:pPr>
        <w:ind w:firstLine="960" w:firstLineChars="3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年财政拨款基本支出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193.130654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万元，其中：1.工资福利支出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172.100468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万元;2.商品和服务支出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16.593586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万元(包括：办公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费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水电，邮电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等);3.对个人和家庭补助支出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4.4366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元(包括退休人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员工资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等)；4.资本性支出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万元。</w:t>
      </w:r>
    </w:p>
    <w:p>
      <w:pPr>
        <w:ind w:firstLine="960" w:firstLineChars="3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五、202</w:t>
      </w:r>
      <w: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年政府性基金预算财政拨款支出决算情况说明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年政府性基金预算财政拨款收入0万元，政府性基金预算财政拨款支出0万元。与20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相比无变化。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六、202</w:t>
      </w:r>
      <w: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年部门决算“三公”经费财政拨款支出情况说明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年部门决算“三公”经费财政拨款支出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，与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20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年支出0万元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相比无变化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，其中：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（一）因公出国（境）费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（二）公务接待费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（三）公务用车购置及运行维护费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。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七、202</w:t>
      </w:r>
      <w:r>
        <w:rPr>
          <w:rFonts w:ascii="仿宋_GB2312" w:hAnsi="仿宋_GB2312" w:eastAsia="仿宋_GB2312" w:cs="仿宋_GB2312"/>
          <w:b/>
          <w:bCs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404040"/>
          <w:sz w:val="32"/>
          <w:szCs w:val="32"/>
        </w:rPr>
        <w:t>年其他重要事项的情况说明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（一）机关运行经费支出情况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无此项收支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（二）202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年涉及政府采购项目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ascii="仿宋_GB2312" w:hAnsi="仿宋_GB2312" w:eastAsia="仿宋_GB2312" w:cs="仿宋_GB2312"/>
          <w:color w:val="404040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我单位政府采购项目涉及物业费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，信息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化运维费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（三）202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年涉及政府购买服务项目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无此项收支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（四）国有资产占用情况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截止到202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年12月31日，我单位占用固定资产总额（净值）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26.958607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万元，其中：车辆0台，0万元；专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用设备：0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通用设备价值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22.049207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万元，单位价值50万元以上的通用设备0台（套）、0万元；图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书档案：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0.6700万元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家具、用具装具及动植物价值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4.2394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万元；单位价值100万元以上的专用设备0台（套）、0万元。无形资产总额（净值）0万元。</w:t>
      </w:r>
    </w:p>
    <w:p>
      <w:pPr>
        <w:ind w:firstLine="640" w:firstLineChars="2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（五）国有资本经营预算拨款收支情况</w:t>
      </w:r>
    </w:p>
    <w:p>
      <w:pPr>
        <w:ind w:firstLine="960" w:firstLineChars="3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无此项收支</w:t>
      </w:r>
    </w:p>
    <w:p>
      <w:pPr>
        <w:ind w:firstLine="640" w:firstLineChars="200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（六）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绩效目标开展情况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北京宣南文化博物馆创建于2005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年11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月，坐落于国家级重点文物保护单位长椿寺中，是展示宣南地区历史文化的重要窗口。目前的宣南文化博物馆占地面积4964m²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，展厅面积1330m²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。本次北京宣南文化博物馆长椿寺中路给水提升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项目为展陈改造中发现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院内管道年久生锈，严重污染生活用水，局部地点有渗水等现象，本着提升用水质量，保护文物安全的原则，对院内自来水上水管道进行改造提升。本次改造工作请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北京市文物建筑保护设计所进行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设计勘察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，院内重新更换PPR50发泡保温上水管道，挖沟，三七灰土回填，重新添配地趴砖铺墁，增加上水检查水井及井盖。总投资327525.97元。当年已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竣工验收并投入使用。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八、专业名词解释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1.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ind w:firstLine="960" w:firstLineChars="300"/>
        <w:rPr>
          <w:rFonts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2.机关运行经费：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>
      <w:pPr>
        <w:ind w:firstLine="960" w:firstLineChars="300"/>
        <w:rPr>
          <w:rFonts w:hint="eastAsia" w:ascii="仿宋_GB2312" w:hAnsi="仿宋_GB2312" w:eastAsia="仿宋_GB2312" w:cs="仿宋_GB2312"/>
          <w:color w:val="404040"/>
          <w:sz w:val="32"/>
          <w:szCs w:val="32"/>
        </w:rPr>
        <w:sectPr>
          <w:footerReference r:id="rId6" w:type="default"/>
          <w:pgSz w:w="11906" w:h="16838"/>
          <w:pgMar w:top="1304" w:right="1797" w:bottom="1077" w:left="1797" w:header="851" w:footer="992" w:gutter="0"/>
          <w:paperSrc/>
          <w:cols w:space="0" w:num="1"/>
          <w:rtlGutter w:val="0"/>
          <w:docGrid w:linePitch="312" w:charSpace="0"/>
        </w:sectPr>
      </w:pPr>
    </w:p>
    <w:p>
      <w:pPr>
        <w:tabs>
          <w:tab w:val="left" w:pos="8652"/>
        </w:tabs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b/>
          <w:sz w:val="32"/>
          <w:szCs w:val="32"/>
        </w:rPr>
        <w:t>部分 2022年度部门决算报表</w:t>
      </w:r>
    </w:p>
    <w:tbl>
      <w:tblPr>
        <w:tblStyle w:val="5"/>
        <w:tblW w:w="146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"/>
        <w:gridCol w:w="172"/>
        <w:gridCol w:w="262"/>
        <w:gridCol w:w="81"/>
        <w:gridCol w:w="2417"/>
        <w:gridCol w:w="81"/>
        <w:gridCol w:w="353"/>
        <w:gridCol w:w="200"/>
        <w:gridCol w:w="81"/>
        <w:gridCol w:w="1873"/>
        <w:gridCol w:w="642"/>
        <w:gridCol w:w="410"/>
        <w:gridCol w:w="410"/>
        <w:gridCol w:w="410"/>
        <w:gridCol w:w="410"/>
        <w:gridCol w:w="410"/>
        <w:gridCol w:w="410"/>
        <w:gridCol w:w="410"/>
        <w:gridCol w:w="449"/>
        <w:gridCol w:w="449"/>
        <w:gridCol w:w="447"/>
        <w:gridCol w:w="447"/>
        <w:gridCol w:w="447"/>
        <w:gridCol w:w="447"/>
        <w:gridCol w:w="492"/>
        <w:gridCol w:w="732"/>
        <w:gridCol w:w="81"/>
        <w:gridCol w:w="81"/>
        <w:gridCol w:w="81"/>
        <w:gridCol w:w="967"/>
        <w:gridCol w:w="220"/>
        <w:gridCol w:w="2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555" w:hRule="atLeast"/>
        </w:trPr>
        <w:tc>
          <w:tcPr>
            <w:tcW w:w="37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ab/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5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收入支出决算表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5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5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9113" w:type="dxa"/>
            <w:gridSpan w:val="18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9113" w:type="dxa"/>
            <w:gridSpan w:val="18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收入</w:t>
            </w:r>
          </w:p>
        </w:tc>
        <w:tc>
          <w:tcPr>
            <w:tcW w:w="5120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项目(按功能分类)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一、一般公共预算财政拨款收入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521.656625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490.137234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一、一般公共服务支出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二、政府性基金预算财政拨款收入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二、外交支出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三、国有资本经营预算财政拨款收入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三、国防支出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四、公共安全支出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五、事业收入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五、教育支出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六、经营收入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六、科学技术支出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七、附属单位上缴收入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七、文化旅游体育与传媒支出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446.405829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431.701890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八、其他收入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八、社会保障和就业支出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31.495696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24.514568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九、卫生健康支出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14.734252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14.044376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十、节能环保支出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十一、城乡社区支出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十二、农林水支出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十三、交通运输支出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十四、资源勘探工业信息等支出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十五、商业服务业等支出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十六、金融支出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十七、援助其他地区支出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十八、自然资源海洋气象等支出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十九、住房保障支出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29.020848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28.676400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二十、粮油物资储备支出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二十一、国有资本经营预算支出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二十二、灾害防治及应急管理支出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二十三、其他支出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二十四、债务还本支出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二十五、债务付息支出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二十六、抗疫特别国债安排的支出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521.656625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490.137234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521.656625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498.937234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使用非财政拨款结余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结余分配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―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年初结转和结余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8.800000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年末结转和结余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0" w:type="dxa"/>
          <w:trHeight w:val="300" w:hRule="atLeast"/>
        </w:trPr>
        <w:tc>
          <w:tcPr>
            <w:tcW w:w="3728" w:type="dxa"/>
            <w:gridSpan w:val="9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总计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521.656625</w:t>
            </w:r>
          </w:p>
        </w:tc>
        <w:tc>
          <w:tcPr>
            <w:tcW w:w="3512" w:type="dxa"/>
            <w:gridSpan w:val="8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498.937234</w:t>
            </w: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总计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521.656625</w:t>
            </w:r>
          </w:p>
        </w:tc>
        <w:tc>
          <w:tcPr>
            <w:tcW w:w="121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498.937234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1" w:type="dxa"/>
          <w:trHeight w:val="555" w:hRule="atLeast"/>
        </w:trPr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53" w:type="dxa"/>
          <w:trHeight w:val="555" w:hRule="atLeast"/>
        </w:trPr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Theme="minorEastAsia"/>
                <w:sz w:val="20"/>
                <w:szCs w:val="20"/>
              </w:rPr>
            </w:pPr>
          </w:p>
          <w:p>
            <w:pPr>
              <w:rPr>
                <w:rFonts w:eastAsiaTheme="minorEastAsia"/>
                <w:sz w:val="20"/>
                <w:szCs w:val="20"/>
              </w:rPr>
            </w:pPr>
          </w:p>
          <w:p>
            <w:pPr>
              <w:rPr>
                <w:rFonts w:eastAsiaTheme="minorEastAsia"/>
                <w:sz w:val="20"/>
                <w:szCs w:val="20"/>
              </w:rPr>
            </w:pPr>
          </w:p>
          <w:p>
            <w:pPr>
              <w:rPr>
                <w:rFonts w:eastAsiaTheme="minorEastAsia"/>
                <w:sz w:val="20"/>
                <w:szCs w:val="20"/>
              </w:rPr>
            </w:pPr>
          </w:p>
          <w:p>
            <w:pPr>
              <w:rPr>
                <w:rFonts w:eastAsiaTheme="minorEastAsia"/>
                <w:sz w:val="20"/>
                <w:szCs w:val="20"/>
              </w:rPr>
            </w:pPr>
          </w:p>
          <w:p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 w:cs="Arial"/>
                <w:color w:val="000000"/>
                <w:sz w:val="44"/>
                <w:szCs w:val="44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 w:cs="Arial"/>
                <w:color w:val="000000"/>
                <w:sz w:val="44"/>
                <w:szCs w:val="44"/>
              </w:rPr>
            </w:pPr>
          </w:p>
        </w:tc>
        <w:tc>
          <w:tcPr>
            <w:tcW w:w="18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hint="eastAsia" w:cs="Arial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555" w:hRule="atLeast"/>
        </w:trPr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hAnsi="黑体" w:eastAsia="黑体" w:cs="Arial"/>
                <w:color w:val="00000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sz w:val="44"/>
                <w:szCs w:val="44"/>
              </w:rPr>
              <w:t>收入决算</w:t>
            </w:r>
            <w:r>
              <w:rPr>
                <w:rFonts w:ascii="黑体" w:hAnsi="黑体" w:eastAsia="黑体" w:cs="Arial"/>
                <w:color w:val="000000"/>
                <w:sz w:val="44"/>
                <w:szCs w:val="44"/>
              </w:rPr>
              <w:t>表</w:t>
            </w:r>
          </w:p>
          <w:p>
            <w:pPr>
              <w:jc w:val="center"/>
              <w:rPr>
                <w:rFonts w:ascii="黑体" w:hAnsi="黑体" w:eastAsia="黑体" w:cs="Arial"/>
                <w:color w:val="000000"/>
                <w:sz w:val="44"/>
                <w:szCs w:val="44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hint="eastAsia" w:cs="Arial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cs="Arial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8622" w:type="dxa"/>
            <w:gridSpan w:val="16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color w:val="000000"/>
              </w:rPr>
            </w:pPr>
            <w:r>
              <w:rPr>
                <w:rFonts w:hint="eastAsia" w:cs="Arial"/>
                <w:color w:val="000000"/>
              </w:rPr>
              <w:t>单位名称：北京宣南文化博物馆管理处（北京长椿寺管理处）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18"/>
                <w:szCs w:val="18"/>
              </w:rPr>
            </w:pPr>
            <w:r>
              <w:rPr>
                <w:rFonts w:hint="eastAsia" w:cs="Arial"/>
                <w:sz w:val="18"/>
                <w:szCs w:val="18"/>
              </w:rPr>
              <w:t>　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18"/>
                <w:szCs w:val="18"/>
              </w:rPr>
            </w:pPr>
            <w:r>
              <w:rPr>
                <w:rFonts w:hint="eastAsia" w:cs="Arial"/>
                <w:sz w:val="18"/>
                <w:szCs w:val="18"/>
              </w:rPr>
              <w:t>　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18"/>
                <w:szCs w:val="18"/>
              </w:rPr>
            </w:pPr>
            <w:r>
              <w:rPr>
                <w:rFonts w:hint="eastAsia" w:cs="Arial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18"/>
                <w:szCs w:val="18"/>
              </w:rPr>
            </w:pPr>
            <w:r>
              <w:rPr>
                <w:rFonts w:hint="eastAsia" w:cs="Arial"/>
                <w:sz w:val="18"/>
                <w:szCs w:val="18"/>
              </w:rPr>
              <w:t>　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color w:val="000000"/>
                <w:sz w:val="24"/>
              </w:rPr>
            </w:pPr>
            <w:r>
              <w:rPr>
                <w:rFonts w:hint="eastAsia" w:cs="Arial"/>
                <w:color w:val="00000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6162" w:type="dxa"/>
            <w:gridSpan w:val="10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项目</w:t>
            </w:r>
          </w:p>
        </w:tc>
        <w:tc>
          <w:tcPr>
            <w:tcW w:w="1230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本年收入合计</w:t>
            </w:r>
          </w:p>
        </w:tc>
        <w:tc>
          <w:tcPr>
            <w:tcW w:w="1230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财政拨款收入</w:t>
            </w:r>
          </w:p>
        </w:tc>
        <w:tc>
          <w:tcPr>
            <w:tcW w:w="859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上级补助收入</w:t>
            </w:r>
          </w:p>
        </w:tc>
        <w:tc>
          <w:tcPr>
            <w:tcW w:w="1343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事业收入</w:t>
            </w:r>
          </w:p>
        </w:tc>
        <w:tc>
          <w:tcPr>
            <w:tcW w:w="1386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经营收入</w:t>
            </w:r>
          </w:p>
        </w:tc>
        <w:tc>
          <w:tcPr>
            <w:tcW w:w="813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附属单位上缴收入</w:t>
            </w:r>
          </w:p>
        </w:tc>
        <w:tc>
          <w:tcPr>
            <w:tcW w:w="1129" w:type="dxa"/>
            <w:gridSpan w:val="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支出功能分类科目编码</w:t>
            </w:r>
          </w:p>
        </w:tc>
        <w:tc>
          <w:tcPr>
            <w:tcW w:w="2796" w:type="dxa"/>
            <w:gridSpan w:val="4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科目名称</w:t>
            </w:r>
          </w:p>
        </w:tc>
        <w:tc>
          <w:tcPr>
            <w:tcW w:w="1230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230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343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386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813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129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2796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230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230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343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386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813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129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2796" w:type="dxa"/>
            <w:gridSpan w:val="4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230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230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343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386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813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1129" w:type="dxa"/>
            <w:gridSpan w:val="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515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类</w:t>
            </w:r>
          </w:p>
        </w:tc>
        <w:tc>
          <w:tcPr>
            <w:tcW w:w="241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款</w:t>
            </w:r>
          </w:p>
        </w:tc>
        <w:tc>
          <w:tcPr>
            <w:tcW w:w="434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项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栏次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3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4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6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515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2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434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Arial"/>
                <w:sz w:val="22"/>
                <w:szCs w:val="22"/>
              </w:rPr>
            </w:pP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合计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490.137234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490.137234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207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文化旅游体育与传媒支出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422.901890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422.901890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20701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文化和旅游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124.935227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124.935227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2070199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其他文化和旅游支出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124.935227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124.935227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2070199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其他文化和旅游支出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124.935227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124.935227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20702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文物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297.966663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297.966663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2070205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博物馆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297.966663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297.966663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2070205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博物馆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297.966663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297.966663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208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社会保障和就业支出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24.514568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24.514568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20805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行政事业单位养老支出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24.514568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24.514568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2080502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事业单位离退休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4.178600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4.178600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2080502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事业单位离退休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4.178600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4.178600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2080505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13.557312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13.557312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2080505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机关事业单位基本养老保险缴费支出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13.557312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13.557312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2080506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机关事业单位职业年金缴费支出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6.778656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6.778656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2080506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机关事业单位职业年金缴费支出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6.778656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6.778656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卫生健康支出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14.044376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14.044376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21011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行政事业单位医疗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14.044376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14.044376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2101102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事业单位医疗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14.044376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14.044376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2101102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事业单位医疗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14.044376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14.044376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221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住房保障支出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28.676400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28.676400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22102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住房改革支出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28.676400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28.676400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2210201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住房公积金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12.702600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12.702600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2210201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住房公积金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12.702600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12.702600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2210202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提租补贴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0.936000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0.936000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2210202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提租补贴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0.936000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0.936000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sz w:val="20"/>
                <w:szCs w:val="20"/>
              </w:rPr>
              <w:t>2210203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购房补贴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15.037800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15.037800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hint="eastAsia" w:cs="Arial"/>
                <w:b/>
                <w:bCs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81" w:type="dxa"/>
          <w:wAfter w:w="440" w:type="dxa"/>
          <w:trHeight w:val="300" w:hRule="atLeast"/>
        </w:trPr>
        <w:tc>
          <w:tcPr>
            <w:tcW w:w="3366" w:type="dxa"/>
            <w:gridSpan w:val="6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2210203</w:t>
            </w:r>
          </w:p>
        </w:tc>
        <w:tc>
          <w:tcPr>
            <w:tcW w:w="2796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 xml:space="preserve">  购房补贴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15.037800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15.037800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253" w:type="dxa"/>
          <w:trHeight w:val="300" w:hRule="atLeast"/>
        </w:trPr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cs="Arial"/>
                <w:color w:val="000000"/>
              </w:rPr>
              <w:t>　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145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436"/>
        <w:gridCol w:w="436"/>
        <w:gridCol w:w="3393"/>
        <w:gridCol w:w="1397"/>
        <w:gridCol w:w="1617"/>
        <w:gridCol w:w="1577"/>
        <w:gridCol w:w="1557"/>
        <w:gridCol w:w="1417"/>
        <w:gridCol w:w="17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支</w:t>
            </w:r>
            <w:r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  <w:t>出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决算</w:t>
            </w:r>
            <w:r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  <w:t>表</w:t>
            </w:r>
          </w:p>
          <w:p>
            <w:pPr>
              <w:widowControl/>
              <w:jc w:val="left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  <w:p>
            <w:pPr>
              <w:rPr>
                <w:rFonts w:ascii="宋体" w:hAnsi="宋体" w:cs="Arial"/>
                <w:sz w:val="18"/>
                <w:szCs w:val="18"/>
              </w:rPr>
            </w:pPr>
          </w:p>
          <w:p>
            <w:pPr>
              <w:rPr>
                <w:rFonts w:ascii="宋体" w:hAnsi="宋体" w:cs="Arial"/>
                <w:sz w:val="18"/>
                <w:szCs w:val="18"/>
              </w:rPr>
            </w:pPr>
          </w:p>
          <w:p>
            <w:pPr>
              <w:rPr>
                <w:rFonts w:ascii="宋体" w:hAnsi="宋体" w:cs="Arial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97" w:type="dxa"/>
            <w:gridSpan w:val="6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283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139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161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57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上缴上级支出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经营支出</w:t>
            </w:r>
          </w:p>
        </w:tc>
        <w:tc>
          <w:tcPr>
            <w:tcW w:w="171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对附属单位补助支出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339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39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6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39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6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39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6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5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8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8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498.937234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193.130654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305.806580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207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文化旅游体育与传媒支出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431.701890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125.895310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305.806580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20701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文化和旅游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其他文化和旅游支出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2070199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其他文化和旅游支出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20702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文物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297.966663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125.895310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172.071353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博物馆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297.966663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125.895310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172.071353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2070205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博物馆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297.966663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125.895310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172.071353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208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20805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事业单位离退休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4.178600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4.178600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2080502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事业单位离退休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4.178600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4.178600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13.557312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13.557312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2080505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机关事业单位基本养老保险缴费支出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13.557312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13.557312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机关事业单位职业年金缴费支出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6.778656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6.778656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2080506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机关事业单位职业年金缴费支出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6.778656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6.778656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210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卫生健康支出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21011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行政事业单位医疗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事业单位医疗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2101102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事业单位医疗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221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住房保障支出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22102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住房改革支出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住房公积金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12.702600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12.702600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2210201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12.702600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12.702600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提租补贴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0.936000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0.936000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2210202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提租补贴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0.936000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0.936000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购房补贴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15.037800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15.037800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90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2210203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购房补贴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15.037800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15.037800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146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6"/>
        <w:gridCol w:w="4536"/>
        <w:gridCol w:w="1316"/>
        <w:gridCol w:w="1578"/>
        <w:gridCol w:w="1096"/>
        <w:gridCol w:w="1214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财政拨款收入支出决算总表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673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项目（按功能分类）</w:t>
            </w:r>
          </w:p>
        </w:tc>
        <w:tc>
          <w:tcPr>
            <w:tcW w:w="58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一般公共预算财政拨款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政府性基金预算财政拨款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国有资本经营预算财政拨款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年初预算数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一、一般公共服务支出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二、外交支出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三、国防支出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四、公共安全支出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五、教育支出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六、科学技术支出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七、文化旅游体育与传媒支出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446.405829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431.701890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八、社会保障和就业支出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31.495696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九、卫生健康支出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14.734252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十、节能环保支出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十一、城乡社区支出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十二、农林水支出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十三、交通运输支出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十四、资源勘探工业信息等支出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十五、商业服务业等支出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十六、金融支出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十七、援助其他地区支出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十八、自然资源海洋气象等支出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十九、住房保障支出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29.020848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二十、粮油物资储备支出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二十一、国有资本经营预算支出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二十二、灾害防治及应急管理支出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二十三、其他支出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二十四、债务还本支出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二十五、债务付息支出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二十六、抗疫特别国债安排的支出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521.656625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498.937234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年末财政拨款结转和结余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总计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521.656625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498.937234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146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"/>
        <w:gridCol w:w="373"/>
        <w:gridCol w:w="379"/>
        <w:gridCol w:w="2888"/>
        <w:gridCol w:w="2621"/>
        <w:gridCol w:w="1984"/>
        <w:gridCol w:w="1558"/>
        <w:gridCol w:w="1417"/>
        <w:gridCol w:w="1561"/>
        <w:gridCol w:w="1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一般公共预算财政拨款收入支出决算表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17" w:type="dxa"/>
            <w:gridSpan w:val="6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012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26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年初结转和结余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本年收入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年末结转结余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288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26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88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6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5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6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24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88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6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5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6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2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37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37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2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7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7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8.800000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490.137234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498.937234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193.130654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305.806580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207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文化旅游体育与传媒支出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8.800000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422.901890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431.701890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125.895310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305.806580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20701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文化和旅游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8.800000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124.935227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2070199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其他文化和旅游支出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8.800000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124.935227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133.735227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20702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文物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297.966663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297.966663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125.895310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172.071353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2070205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博物馆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297.966663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297.966663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125.895310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172.071353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208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20805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24.514568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2080502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事业单位离退休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4.178600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4.178600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4.178600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2080505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机关事业单位基本养老保险缴费支出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13.557312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13.557312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13.557312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2080506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机关事业单位职业年金缴费支出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6.778656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6.778656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6.778656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210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卫生健康支出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21011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行政事业单位医疗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2101102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事业单位医疗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14.044376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221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住房保障支出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22102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住房改革支出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28.676400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2210201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住房公积金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12.702600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12.702600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12.702600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2210202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提租补贴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0.936000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0.936000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0.936000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24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2210203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购房补贴</w:t>
            </w:r>
          </w:p>
        </w:tc>
        <w:tc>
          <w:tcPr>
            <w:tcW w:w="2621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15.037800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15.037800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15.037800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1391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5"/>
        <w:gridCol w:w="805"/>
        <w:gridCol w:w="3276"/>
        <w:gridCol w:w="4176"/>
        <w:gridCol w:w="1316"/>
        <w:gridCol w:w="1316"/>
        <w:gridCol w:w="14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3916" w:type="dxa"/>
            <w:gridSpan w:val="8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一般公共预算财政拨款支出决算表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9868" w:type="dxa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92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41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416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32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41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416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2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1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416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2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1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806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8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8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80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498.937234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193.130654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305.806580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431.701890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125.895310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305.806580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20701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文化和旅游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133.735227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133.735227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2070199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其他文化和旅游支出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133.735227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133.735227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2070199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其他文化和旅游支出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133.735227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133.735227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20702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文物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297.966663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125.895310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172.071353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2070205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博物馆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297.966663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125.895310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172.071353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2070205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博物馆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297.966663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125.895310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172.071353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24.514568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24.514568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行政事业单位养老支出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24.514568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24.514568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2080502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4.178600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4.178600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2080502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事业单位离退休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4.178600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4.178600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2080505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13.557312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13.557312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2080505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机关事业单位基本养老保险缴费支出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13.557312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13.557312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2080506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机关事业单位职业年金缴费支出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6.778656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6.778656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2080506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机关事业单位职业年金缴费支出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6.778656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6.778656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14.044376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14.044376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21011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行政事业单位医疗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14.044376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14.044376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2101102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14.044376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14.044376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2101102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事业单位医疗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14.044376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14.044376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28.676400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28.676400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28.676400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28.676400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2210201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12.702600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12.702600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2210201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住房公积金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12.702600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12.702600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2210202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提租补贴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0.936000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0.936000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2210202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提租补贴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0.936000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0.936000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2210203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15.037800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15.037800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2210203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购房补贴</w:t>
            </w:r>
          </w:p>
        </w:tc>
        <w:tc>
          <w:tcPr>
            <w:tcW w:w="417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北京宣南文化博物馆管理处（北京长椿寺管理处）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15.037800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15.037800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1348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4"/>
        <w:gridCol w:w="1722"/>
        <w:gridCol w:w="1816"/>
        <w:gridCol w:w="936"/>
        <w:gridCol w:w="3256"/>
        <w:gridCol w:w="13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3480" w:type="dxa"/>
            <w:gridSpan w:val="6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一般公共预算财政拨款基本支出决算表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6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单位名称：北京宣南文化博物馆管理处（北京长椿寺管理处）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科目名称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决算数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科目名称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决算数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科目名称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工资福利支出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172.100468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商品和服务支出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16.593586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资本性支出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基本工资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22.998900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办公费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5.903106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房屋建筑物购建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津贴补贴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0.540000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印刷费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办公设备购置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奖金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咨询费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专用设备购置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伙食补助费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手续费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基础设施建设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绩效工资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85.453300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水费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0.444600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大型修缮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机关事业单位基本养老保险缴费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13.557312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电费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信息网络及软件购置更新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职业年金缴费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6.778656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邮电费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0.255124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物资储备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职工基本医疗保险缴费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14.044376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取暖费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1.609380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土地补偿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公务员医疗补助缴费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物业管理费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安置补助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其他社会保障缴费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0.987524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差旅费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地上附着物和青苗补偿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住房公积金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12.702600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因公出国（境）费用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拆迁补偿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医疗费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维修（护）费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0.105000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公务用车购置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其他工资福利支出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15.037800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租赁费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其他交通工具购置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对个人和家庭的补助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4.436600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会议费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文物和陈列品购置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离休费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培训费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无形资产购置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退休费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4.436600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公务接待费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其他资本性支出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退职（役）费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专用材料费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对企业补助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抚恤金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被装购置费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资本金注入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生活补助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专用燃料费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政府投资基金股权投资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救济费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劳务费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费用补贴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医疗费补助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委托业务费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利息补贴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助学金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工会经费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1.689765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其他对企业补助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奖励金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福利费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1.794246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其他支出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个人农业生产补贴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公务用车运行维护费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国家赔偿费用支出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代缴社会保险费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其他交通费用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对民间非营利组织和群众性自治组织补贴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其他对个人和家庭的补助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税金及附加费用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经常性赠与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其他商品和服务支出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4.792365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资本性赠与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债务利息及费用支出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其他支出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国内债务付息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国外债务付息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国内债务发行费用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 xml:space="preserve">  国外债务发行费用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0.000000</w:t>
            </w:r>
          </w:p>
        </w:tc>
        <w:tc>
          <w:tcPr>
            <w:tcW w:w="3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4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人员经费合计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176.537068</w:t>
            </w:r>
          </w:p>
        </w:tc>
        <w:tc>
          <w:tcPr>
            <w:tcW w:w="6008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公用经费合计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Arial"/>
                <w:kern w:val="0"/>
                <w:sz w:val="16"/>
                <w:szCs w:val="16"/>
              </w:rPr>
              <w:t>16.593586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b/>
          <w:sz w:val="32"/>
          <w:szCs w:val="32"/>
        </w:rPr>
      </w:pPr>
    </w:p>
    <w:tbl>
      <w:tblPr>
        <w:tblStyle w:val="5"/>
        <w:tblW w:w="145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509"/>
        <w:gridCol w:w="509"/>
        <w:gridCol w:w="566"/>
        <w:gridCol w:w="8856"/>
        <w:gridCol w:w="566"/>
        <w:gridCol w:w="479"/>
        <w:gridCol w:w="566"/>
        <w:gridCol w:w="566"/>
        <w:gridCol w:w="14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8"/>
                <w:szCs w:val="48"/>
              </w:rPr>
              <w:t>政府性基金预算财政拨款收入支出决算表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8"/>
                <w:szCs w:val="4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48" w:type="dxa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092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88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年初结转和结余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本年收入</w:t>
            </w:r>
          </w:p>
        </w:tc>
        <w:tc>
          <w:tcPr>
            <w:tcW w:w="161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本年支出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年末结转结余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88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88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7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6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88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7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8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50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50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88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8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0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0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88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885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tabs>
          <w:tab w:val="left" w:pos="6588"/>
        </w:tabs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ab/>
      </w:r>
    </w:p>
    <w:tbl>
      <w:tblPr>
        <w:tblStyle w:val="5"/>
        <w:tblW w:w="146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882"/>
        <w:gridCol w:w="6296"/>
        <w:gridCol w:w="631"/>
        <w:gridCol w:w="2842"/>
        <w:gridCol w:w="9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政府性基金预算财政拨款基本支出决算表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997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单位名称：北京宣南文化博物馆管理处（北京长椿寺管理处）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基本工资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办公费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房屋建筑物购建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津贴补贴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印刷费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办公设备购置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奖金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咨询费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专用设备购置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伙食补助费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手续费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基础设施建设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绩效工资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水费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大型修缮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机关事业单位基本养老保险缴费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电费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信息网络及软件购置更新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职业年金缴费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邮电费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物资储备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职工基本医疗保险缴费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取暖费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土地补偿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公务员医疗补助缴费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物业管理费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安置补助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其他社会保障缴费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差旅费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地上附着物和青苗补偿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住房公积金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因公出国（境）费用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拆迁补偿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医疗费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维修（护）费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公务用车购置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其他工资福利支出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租赁费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其他交通工具购置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会议费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文物和陈列品购置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离休费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培训费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无形资产购置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退休费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公务接待费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其他资本性支出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退职（役）费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专用材料费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抚恤金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被装购置费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资本金注入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生活补助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专用燃料费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政府投资基金股权投资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救济费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劳务费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费用补贴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医疗费补助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委托业务费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利息补贴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助学金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工会经费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其他对企业补助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奖励金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福利费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个人农业生产补贴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公务用车运行维护费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国家赔偿费用支出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代缴社会保险费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其他交通费用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对民间非营利组织和群众性自治组织补贴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其他对个人和家庭的补助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税金及附加费用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经常性赠与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其他商品和服务支出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资本性赠与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其他支出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国内债务付息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国外债务付息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国内债务发行费用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国外债务发行费用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15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人员经费合计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769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公用经费合计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</w:tbl>
    <w:p>
      <w:pPr>
        <w:tabs>
          <w:tab w:val="left" w:pos="6588"/>
        </w:tabs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123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5"/>
        <w:gridCol w:w="805"/>
        <w:gridCol w:w="2761"/>
        <w:gridCol w:w="1968"/>
        <w:gridCol w:w="1836"/>
        <w:gridCol w:w="33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Arial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8"/>
                <w:szCs w:val="48"/>
              </w:rPr>
              <w:t>国有资本经营预算财政拨款支出决算表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Arial"/>
                <w:color w:val="000000"/>
                <w:kern w:val="0"/>
                <w:sz w:val="48"/>
                <w:szCs w:val="4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45" w:type="dxa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95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77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</w:t>
            </w:r>
          </w:p>
        </w:tc>
        <w:tc>
          <w:tcPr>
            <w:tcW w:w="719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2022年度决算数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16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支出功能分类科目编码</w:t>
            </w:r>
          </w:p>
        </w:tc>
        <w:tc>
          <w:tcPr>
            <w:tcW w:w="276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196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33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16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76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96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3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16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76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96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8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33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06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类</w:t>
            </w:r>
          </w:p>
        </w:tc>
        <w:tc>
          <w:tcPr>
            <w:tcW w:w="8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款</w:t>
            </w:r>
          </w:p>
        </w:tc>
        <w:tc>
          <w:tcPr>
            <w:tcW w:w="8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3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0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合计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16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339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145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2539"/>
        <w:gridCol w:w="2123"/>
        <w:gridCol w:w="430"/>
        <w:gridCol w:w="1712"/>
        <w:gridCol w:w="643"/>
        <w:gridCol w:w="1498"/>
        <w:gridCol w:w="1498"/>
        <w:gridCol w:w="1498"/>
        <w:gridCol w:w="12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565" w:type="dxa"/>
            <w:gridSpan w:val="10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财政拨款"三公"经费支出决算表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1" w:type="dxa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编制单位：北京宣南文化博物馆管理处（北京长椿寺管理处）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9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53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"三公"经费财政拨款合计</w:t>
            </w: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因公出国（境）费用</w:t>
            </w:r>
          </w:p>
        </w:tc>
        <w:tc>
          <w:tcPr>
            <w:tcW w:w="43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公务接待费</w:t>
            </w:r>
          </w:p>
        </w:tc>
        <w:tc>
          <w:tcPr>
            <w:tcW w:w="813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公务用车购置及运行维护费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9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53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1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3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642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9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53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21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43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171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小计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公务用车加油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公务用车维修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公务用车保险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栏次</w:t>
            </w:r>
          </w:p>
        </w:tc>
        <w:tc>
          <w:tcPr>
            <w:tcW w:w="25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2022年预算</w:t>
            </w:r>
          </w:p>
        </w:tc>
        <w:tc>
          <w:tcPr>
            <w:tcW w:w="25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9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2022年决算</w:t>
            </w:r>
          </w:p>
        </w:tc>
        <w:tc>
          <w:tcPr>
            <w:tcW w:w="2539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56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注："三公"经费财政拨款决算数，反映本部门使用当年财政拨款和年初结转结余资金实际支出数（包含一般公共预算拨款和政府性基金预算拨款）。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565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565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1209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6"/>
        <w:gridCol w:w="5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092" w:type="dxa"/>
            <w:gridSpan w:val="2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政府采购情况表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5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单位名称：北京宣南文化博物馆管理处（北京长椿寺管理处）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                                      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项  目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政府采购支出信息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（一）政府采购支出合计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98.311200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1．政府采购货物支出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0.831200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2．政府采购工程支出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 xml:space="preserve">  3．政府采购服务支出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97.480000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（二）政府采购授予中小企业合同金额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6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其中：授予小微企业合同金额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0.000000</w:t>
            </w:r>
          </w:p>
        </w:tc>
      </w:tr>
    </w:tbl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b/>
          <w:sz w:val="32"/>
          <w:szCs w:val="32"/>
        </w:rPr>
      </w:pPr>
    </w:p>
    <w:tbl>
      <w:tblPr>
        <w:tblStyle w:val="5"/>
        <w:tblW w:w="9248" w:type="dxa"/>
        <w:tblInd w:w="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5936"/>
        <w:gridCol w:w="14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政府购买服务决算公开情况表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2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单位名称：北京宣南文化博物馆管理处（北京长椿寺管理处）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金额单位：万元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一级目录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二级目录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7772" w:type="dxa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合计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公共服务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公共安全服务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教育公共服务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就业公共服务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社会保障服务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卫生健康公共服务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生态保护和环境治理服务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科技公共服务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文化公共服务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体育公共服务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社会治理服务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城乡维护服务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农业、林业和水利公共服务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交通运输公共服务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灾害防治及应急管理服务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公共信息与宣传服务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行业管理服务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技术性公共服务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其他公共服务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政府履职辅助性服务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小计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法律服务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课题研究和社会调查服务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会计审计服务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会议服务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监督检查辅助服务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工程服务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评审、评估和评价服务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咨询服务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机关工作人员培训服务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信息化服务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后勤服务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83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其他辅助性服务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</w:tbl>
    <w:p>
      <w:pPr>
        <w:spacing w:line="360" w:lineRule="auto"/>
        <w:rPr>
          <w:rFonts w:hint="eastAsia" w:ascii="仿宋" w:hAnsi="仿宋" w:eastAsia="仿宋"/>
          <w:b/>
          <w:sz w:val="32"/>
          <w:szCs w:val="32"/>
        </w:rPr>
        <w:sectPr>
          <w:pgSz w:w="16838" w:h="11906" w:orient="landscape"/>
          <w:pgMar w:top="1797" w:right="1304" w:bottom="1797" w:left="1077" w:header="851" w:footer="992" w:gutter="0"/>
          <w:paperSrc/>
          <w:cols w:space="0" w:num="1"/>
          <w:rtlGutter w:val="0"/>
          <w:docGrid w:linePitch="312" w:charSpace="0"/>
        </w:sectPr>
      </w:pPr>
    </w:p>
    <w:p>
      <w:pPr>
        <w:spacing w:line="360" w:lineRule="auto"/>
        <w:rPr>
          <w:rFonts w:hint="eastAsia" w:ascii="仿宋" w:hAnsi="仿宋" w:eastAsia="仿宋"/>
          <w:b/>
          <w:sz w:val="32"/>
          <w:szCs w:val="32"/>
        </w:rPr>
      </w:pPr>
    </w:p>
    <w:p>
      <w:pPr>
        <w:jc w:val="center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第三部分 2022年度其他重要事项的情况说明</w:t>
      </w:r>
    </w:p>
    <w:p>
      <w:pPr>
        <w:jc w:val="center"/>
        <w:outlineLvl w:val="0"/>
        <w:rPr>
          <w:rFonts w:ascii="仿宋_GB2312" w:eastAsia="仿宋_GB2312"/>
          <w:b/>
          <w:sz w:val="32"/>
          <w:szCs w:val="32"/>
        </w:rPr>
      </w:pPr>
    </w:p>
    <w:p>
      <w:pPr>
        <w:jc w:val="center"/>
        <w:outlineLvl w:val="0"/>
        <w:rPr>
          <w:rFonts w:ascii="仿宋_GB2312" w:eastAsia="仿宋_GB2312"/>
          <w:b/>
          <w:sz w:val="32"/>
          <w:szCs w:val="32"/>
        </w:rPr>
      </w:pPr>
    </w:p>
    <w:p>
      <w:pPr>
        <w:jc w:val="center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第四部分 2022年度部门绩效评价情况</w:t>
      </w:r>
    </w:p>
    <w:sectPr>
      <w:pgSz w:w="11906" w:h="16838"/>
      <w:pgMar w:top="1304" w:right="1797" w:bottom="1077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@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245906"/>
    <w:rsid w:val="00003060"/>
    <w:rsid w:val="00007C24"/>
    <w:rsid w:val="000127D5"/>
    <w:rsid w:val="00012C75"/>
    <w:rsid w:val="000136BE"/>
    <w:rsid w:val="00047D07"/>
    <w:rsid w:val="00053724"/>
    <w:rsid w:val="00054E44"/>
    <w:rsid w:val="00057466"/>
    <w:rsid w:val="00060936"/>
    <w:rsid w:val="000652D6"/>
    <w:rsid w:val="0008607A"/>
    <w:rsid w:val="000A5EEC"/>
    <w:rsid w:val="000A7324"/>
    <w:rsid w:val="000B5DC6"/>
    <w:rsid w:val="000B74A0"/>
    <w:rsid w:val="000C0A32"/>
    <w:rsid w:val="000D4C05"/>
    <w:rsid w:val="000E1887"/>
    <w:rsid w:val="000F2040"/>
    <w:rsid w:val="001271D3"/>
    <w:rsid w:val="00140C1A"/>
    <w:rsid w:val="00146346"/>
    <w:rsid w:val="00147B08"/>
    <w:rsid w:val="00147EC5"/>
    <w:rsid w:val="001551B0"/>
    <w:rsid w:val="00163D0F"/>
    <w:rsid w:val="00186AB4"/>
    <w:rsid w:val="00187A8B"/>
    <w:rsid w:val="00191E58"/>
    <w:rsid w:val="0019605E"/>
    <w:rsid w:val="001A655D"/>
    <w:rsid w:val="001B5BAF"/>
    <w:rsid w:val="00202702"/>
    <w:rsid w:val="00215DAD"/>
    <w:rsid w:val="00224674"/>
    <w:rsid w:val="00243DC5"/>
    <w:rsid w:val="00245906"/>
    <w:rsid w:val="00250B26"/>
    <w:rsid w:val="00253381"/>
    <w:rsid w:val="00263F9A"/>
    <w:rsid w:val="002724E6"/>
    <w:rsid w:val="002926E0"/>
    <w:rsid w:val="002A2A22"/>
    <w:rsid w:val="002B75C1"/>
    <w:rsid w:val="002D72DF"/>
    <w:rsid w:val="002D7438"/>
    <w:rsid w:val="002E5662"/>
    <w:rsid w:val="002E7161"/>
    <w:rsid w:val="002F35D4"/>
    <w:rsid w:val="00305B01"/>
    <w:rsid w:val="00313853"/>
    <w:rsid w:val="0031656A"/>
    <w:rsid w:val="00316F73"/>
    <w:rsid w:val="00317E94"/>
    <w:rsid w:val="003347D9"/>
    <w:rsid w:val="00336EC2"/>
    <w:rsid w:val="00351C91"/>
    <w:rsid w:val="00352C06"/>
    <w:rsid w:val="00356E2D"/>
    <w:rsid w:val="0037059A"/>
    <w:rsid w:val="00370D8D"/>
    <w:rsid w:val="003767CD"/>
    <w:rsid w:val="003852F8"/>
    <w:rsid w:val="00386974"/>
    <w:rsid w:val="003875B9"/>
    <w:rsid w:val="003936A7"/>
    <w:rsid w:val="003B2E1A"/>
    <w:rsid w:val="003B59FF"/>
    <w:rsid w:val="003B7425"/>
    <w:rsid w:val="003E1AD3"/>
    <w:rsid w:val="003E4AEC"/>
    <w:rsid w:val="003F461B"/>
    <w:rsid w:val="004021A2"/>
    <w:rsid w:val="0041017C"/>
    <w:rsid w:val="004133B2"/>
    <w:rsid w:val="00413AE9"/>
    <w:rsid w:val="00417D86"/>
    <w:rsid w:val="004256B3"/>
    <w:rsid w:val="00426E1D"/>
    <w:rsid w:val="004364F8"/>
    <w:rsid w:val="00454C68"/>
    <w:rsid w:val="00474B50"/>
    <w:rsid w:val="004815F1"/>
    <w:rsid w:val="00492F49"/>
    <w:rsid w:val="004A5351"/>
    <w:rsid w:val="004C1CF3"/>
    <w:rsid w:val="004E19BB"/>
    <w:rsid w:val="004E70A9"/>
    <w:rsid w:val="005067B2"/>
    <w:rsid w:val="00506D26"/>
    <w:rsid w:val="005162D7"/>
    <w:rsid w:val="00516F58"/>
    <w:rsid w:val="00535EC8"/>
    <w:rsid w:val="00554DED"/>
    <w:rsid w:val="00557AE3"/>
    <w:rsid w:val="00566179"/>
    <w:rsid w:val="00570C66"/>
    <w:rsid w:val="00573DA2"/>
    <w:rsid w:val="00592CBF"/>
    <w:rsid w:val="00595827"/>
    <w:rsid w:val="005A0822"/>
    <w:rsid w:val="005A3D2F"/>
    <w:rsid w:val="005A6E64"/>
    <w:rsid w:val="005B654A"/>
    <w:rsid w:val="005C204D"/>
    <w:rsid w:val="005C2885"/>
    <w:rsid w:val="005D5EE5"/>
    <w:rsid w:val="005D71C9"/>
    <w:rsid w:val="005E57C4"/>
    <w:rsid w:val="005E62F5"/>
    <w:rsid w:val="005F1C79"/>
    <w:rsid w:val="005F4B9D"/>
    <w:rsid w:val="005F594E"/>
    <w:rsid w:val="005F64F8"/>
    <w:rsid w:val="00606703"/>
    <w:rsid w:val="00607061"/>
    <w:rsid w:val="006126F1"/>
    <w:rsid w:val="00617F37"/>
    <w:rsid w:val="00620A0B"/>
    <w:rsid w:val="00641025"/>
    <w:rsid w:val="00643550"/>
    <w:rsid w:val="00655529"/>
    <w:rsid w:val="00655BEB"/>
    <w:rsid w:val="00673D02"/>
    <w:rsid w:val="0067689B"/>
    <w:rsid w:val="00676EC9"/>
    <w:rsid w:val="00693049"/>
    <w:rsid w:val="0069401F"/>
    <w:rsid w:val="006B58C9"/>
    <w:rsid w:val="006D4B7D"/>
    <w:rsid w:val="006D5C83"/>
    <w:rsid w:val="006E1369"/>
    <w:rsid w:val="006F4E5C"/>
    <w:rsid w:val="0073150D"/>
    <w:rsid w:val="00733198"/>
    <w:rsid w:val="0075642F"/>
    <w:rsid w:val="00765C91"/>
    <w:rsid w:val="007738B4"/>
    <w:rsid w:val="00781263"/>
    <w:rsid w:val="0078280F"/>
    <w:rsid w:val="007842D5"/>
    <w:rsid w:val="00784436"/>
    <w:rsid w:val="007923E7"/>
    <w:rsid w:val="00795482"/>
    <w:rsid w:val="0079657D"/>
    <w:rsid w:val="007A2706"/>
    <w:rsid w:val="007B4D5C"/>
    <w:rsid w:val="007B5FD4"/>
    <w:rsid w:val="007B6E1F"/>
    <w:rsid w:val="007C7CA2"/>
    <w:rsid w:val="007E05C1"/>
    <w:rsid w:val="007E4606"/>
    <w:rsid w:val="007F5781"/>
    <w:rsid w:val="00801E9F"/>
    <w:rsid w:val="00805687"/>
    <w:rsid w:val="00805B7C"/>
    <w:rsid w:val="00812DBC"/>
    <w:rsid w:val="00815857"/>
    <w:rsid w:val="00821136"/>
    <w:rsid w:val="00830F1F"/>
    <w:rsid w:val="00833F76"/>
    <w:rsid w:val="00846DB5"/>
    <w:rsid w:val="00865D9E"/>
    <w:rsid w:val="00871DEC"/>
    <w:rsid w:val="00873118"/>
    <w:rsid w:val="00873A10"/>
    <w:rsid w:val="00875CFC"/>
    <w:rsid w:val="00887A13"/>
    <w:rsid w:val="00895836"/>
    <w:rsid w:val="0089788F"/>
    <w:rsid w:val="008C01C7"/>
    <w:rsid w:val="008C3B36"/>
    <w:rsid w:val="008D0E53"/>
    <w:rsid w:val="008D78EE"/>
    <w:rsid w:val="008E27A5"/>
    <w:rsid w:val="008F4129"/>
    <w:rsid w:val="008F6281"/>
    <w:rsid w:val="00911E33"/>
    <w:rsid w:val="00912AC0"/>
    <w:rsid w:val="00913E8F"/>
    <w:rsid w:val="00920CC4"/>
    <w:rsid w:val="0093610E"/>
    <w:rsid w:val="0094734B"/>
    <w:rsid w:val="00966FA5"/>
    <w:rsid w:val="009736A1"/>
    <w:rsid w:val="009850A6"/>
    <w:rsid w:val="009C15BA"/>
    <w:rsid w:val="009C2C1D"/>
    <w:rsid w:val="009C2D60"/>
    <w:rsid w:val="009D0066"/>
    <w:rsid w:val="009D17FD"/>
    <w:rsid w:val="009E0684"/>
    <w:rsid w:val="009F39B9"/>
    <w:rsid w:val="00A06690"/>
    <w:rsid w:val="00A07A8F"/>
    <w:rsid w:val="00A07D28"/>
    <w:rsid w:val="00A17F75"/>
    <w:rsid w:val="00A4728B"/>
    <w:rsid w:val="00A5058A"/>
    <w:rsid w:val="00A52994"/>
    <w:rsid w:val="00A53676"/>
    <w:rsid w:val="00A73488"/>
    <w:rsid w:val="00A86ADB"/>
    <w:rsid w:val="00A915B8"/>
    <w:rsid w:val="00A92187"/>
    <w:rsid w:val="00A92B65"/>
    <w:rsid w:val="00A979EA"/>
    <w:rsid w:val="00AA16B5"/>
    <w:rsid w:val="00AC0B4E"/>
    <w:rsid w:val="00AD368F"/>
    <w:rsid w:val="00AD3A08"/>
    <w:rsid w:val="00AE107B"/>
    <w:rsid w:val="00AE16D9"/>
    <w:rsid w:val="00B039BB"/>
    <w:rsid w:val="00B05473"/>
    <w:rsid w:val="00B137D4"/>
    <w:rsid w:val="00B1743C"/>
    <w:rsid w:val="00B2213F"/>
    <w:rsid w:val="00B24D75"/>
    <w:rsid w:val="00B26D8F"/>
    <w:rsid w:val="00B27BDA"/>
    <w:rsid w:val="00B3250E"/>
    <w:rsid w:val="00B46696"/>
    <w:rsid w:val="00B4697A"/>
    <w:rsid w:val="00B61E96"/>
    <w:rsid w:val="00B6602B"/>
    <w:rsid w:val="00B81C08"/>
    <w:rsid w:val="00B81E61"/>
    <w:rsid w:val="00B90490"/>
    <w:rsid w:val="00B911D1"/>
    <w:rsid w:val="00BA0AF0"/>
    <w:rsid w:val="00BB3468"/>
    <w:rsid w:val="00BB5736"/>
    <w:rsid w:val="00BB6D1E"/>
    <w:rsid w:val="00BB7136"/>
    <w:rsid w:val="00BD5A58"/>
    <w:rsid w:val="00BF0AF5"/>
    <w:rsid w:val="00BF2BAE"/>
    <w:rsid w:val="00C012C8"/>
    <w:rsid w:val="00C02726"/>
    <w:rsid w:val="00C15501"/>
    <w:rsid w:val="00C34D77"/>
    <w:rsid w:val="00C365E8"/>
    <w:rsid w:val="00C42400"/>
    <w:rsid w:val="00C4499E"/>
    <w:rsid w:val="00C47D4B"/>
    <w:rsid w:val="00C6170F"/>
    <w:rsid w:val="00C6289B"/>
    <w:rsid w:val="00C63BB1"/>
    <w:rsid w:val="00C6498D"/>
    <w:rsid w:val="00C66681"/>
    <w:rsid w:val="00C745BE"/>
    <w:rsid w:val="00C7743C"/>
    <w:rsid w:val="00C9194D"/>
    <w:rsid w:val="00CA44B0"/>
    <w:rsid w:val="00CB4960"/>
    <w:rsid w:val="00CD017A"/>
    <w:rsid w:val="00CD7414"/>
    <w:rsid w:val="00CD7B35"/>
    <w:rsid w:val="00CE4723"/>
    <w:rsid w:val="00CF1725"/>
    <w:rsid w:val="00CF6842"/>
    <w:rsid w:val="00D06E3E"/>
    <w:rsid w:val="00D116D0"/>
    <w:rsid w:val="00D15556"/>
    <w:rsid w:val="00D20370"/>
    <w:rsid w:val="00D2548C"/>
    <w:rsid w:val="00D254CD"/>
    <w:rsid w:val="00D42681"/>
    <w:rsid w:val="00D50EB6"/>
    <w:rsid w:val="00D763C4"/>
    <w:rsid w:val="00D80312"/>
    <w:rsid w:val="00D8388F"/>
    <w:rsid w:val="00DA1FA5"/>
    <w:rsid w:val="00DA2A25"/>
    <w:rsid w:val="00DA3F71"/>
    <w:rsid w:val="00DB24E5"/>
    <w:rsid w:val="00DC001E"/>
    <w:rsid w:val="00DD1C2E"/>
    <w:rsid w:val="00DE0112"/>
    <w:rsid w:val="00DE3249"/>
    <w:rsid w:val="00DE609A"/>
    <w:rsid w:val="00DF0872"/>
    <w:rsid w:val="00DF70A7"/>
    <w:rsid w:val="00E04C68"/>
    <w:rsid w:val="00E04CC6"/>
    <w:rsid w:val="00E17872"/>
    <w:rsid w:val="00E34D4D"/>
    <w:rsid w:val="00E35619"/>
    <w:rsid w:val="00E41CEA"/>
    <w:rsid w:val="00E5031B"/>
    <w:rsid w:val="00E61D84"/>
    <w:rsid w:val="00E75C7A"/>
    <w:rsid w:val="00E76F79"/>
    <w:rsid w:val="00EA3403"/>
    <w:rsid w:val="00EA699C"/>
    <w:rsid w:val="00EB6AB7"/>
    <w:rsid w:val="00ED1445"/>
    <w:rsid w:val="00ED1457"/>
    <w:rsid w:val="00EF1CA4"/>
    <w:rsid w:val="00F02FEA"/>
    <w:rsid w:val="00F25D6C"/>
    <w:rsid w:val="00F27B13"/>
    <w:rsid w:val="00F3456D"/>
    <w:rsid w:val="00F43BCA"/>
    <w:rsid w:val="00F45E93"/>
    <w:rsid w:val="00F47122"/>
    <w:rsid w:val="00F60DC4"/>
    <w:rsid w:val="00F65E63"/>
    <w:rsid w:val="00F678DE"/>
    <w:rsid w:val="00F700A2"/>
    <w:rsid w:val="00F90680"/>
    <w:rsid w:val="00FD3C2E"/>
    <w:rsid w:val="00FD65AB"/>
    <w:rsid w:val="00FD6EF6"/>
    <w:rsid w:val="00FE2D71"/>
    <w:rsid w:val="00FF4DAD"/>
    <w:rsid w:val="01FE0744"/>
    <w:rsid w:val="02721614"/>
    <w:rsid w:val="03C26D81"/>
    <w:rsid w:val="0411630A"/>
    <w:rsid w:val="06424C4C"/>
    <w:rsid w:val="06586C5F"/>
    <w:rsid w:val="0AB30A76"/>
    <w:rsid w:val="0BF85C1E"/>
    <w:rsid w:val="0C014F9A"/>
    <w:rsid w:val="10070CFB"/>
    <w:rsid w:val="10C1714F"/>
    <w:rsid w:val="1AC02C76"/>
    <w:rsid w:val="1CCC6112"/>
    <w:rsid w:val="1FF329FF"/>
    <w:rsid w:val="21692B5F"/>
    <w:rsid w:val="221B7681"/>
    <w:rsid w:val="226C1F14"/>
    <w:rsid w:val="258E3A96"/>
    <w:rsid w:val="27093CA2"/>
    <w:rsid w:val="275058C3"/>
    <w:rsid w:val="28F81C9E"/>
    <w:rsid w:val="2BB307D4"/>
    <w:rsid w:val="32BE328B"/>
    <w:rsid w:val="3C507628"/>
    <w:rsid w:val="42493F2F"/>
    <w:rsid w:val="42C6189B"/>
    <w:rsid w:val="470F53DE"/>
    <w:rsid w:val="49E72F29"/>
    <w:rsid w:val="4C2632BB"/>
    <w:rsid w:val="4EF01125"/>
    <w:rsid w:val="4F1239D8"/>
    <w:rsid w:val="53FE7BE7"/>
    <w:rsid w:val="586C08B5"/>
    <w:rsid w:val="5AB34251"/>
    <w:rsid w:val="6167728E"/>
    <w:rsid w:val="63485318"/>
    <w:rsid w:val="63D44A2C"/>
    <w:rsid w:val="6765696E"/>
    <w:rsid w:val="68671F60"/>
    <w:rsid w:val="6B1A34AB"/>
    <w:rsid w:val="6D0D60B8"/>
    <w:rsid w:val="6EA95035"/>
    <w:rsid w:val="70A8378F"/>
    <w:rsid w:val="75E12B8E"/>
    <w:rsid w:val="77A76F61"/>
    <w:rsid w:val="79194EEC"/>
    <w:rsid w:val="7B2D250C"/>
    <w:rsid w:val="7B5C558E"/>
    <w:rsid w:val="7C09538E"/>
    <w:rsid w:val="7CA0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0">
    <w:name w:val="Char1"/>
    <w:basedOn w:val="1"/>
    <w:semiHidden/>
    <w:qFormat/>
    <w:uiPriority w:val="0"/>
    <w:rPr>
      <w:rFonts w:ascii="仿宋_GB2312" w:eastAsia="仿宋_GB2312"/>
      <w:b/>
      <w:sz w:val="32"/>
      <w:szCs w:val="32"/>
    </w:rPr>
  </w:style>
  <w:style w:type="character" w:customStyle="1" w:styleId="11">
    <w:name w:val="font81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3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3">
    <w:name w:val="font91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4">
    <w:name w:val="font7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86A0F2-4AB9-4D86-BB17-8F2DFD180C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27</Pages>
  <Words>2756</Words>
  <Characters>15713</Characters>
  <Lines>130</Lines>
  <Paragraphs>36</Paragraphs>
  <TotalTime>8</TotalTime>
  <ScaleCrop>false</ScaleCrop>
  <LinksUpToDate>false</LinksUpToDate>
  <CharactersWithSpaces>18433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2021-09-01T07:49:00Z</dcterms:created>
  <dc:creator>石彦珍</dc:creator>
  <cp:lastModifiedBy>Administrator</cp:lastModifiedBy>
  <cp:lastPrinted>2020-09-02T08:39:00Z</cp:lastPrinted>
  <dcterms:modified xsi:type="dcterms:W3CDTF">2023-08-28T05:44:21Z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E1299805413F4216AC0A97D96235CDB3</vt:lpwstr>
  </property>
</Properties>
</file>