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color w:val="auto"/>
          <w:sz w:val="36"/>
          <w:szCs w:val="36"/>
          <w:highlight w:val="none"/>
        </w:rPr>
      </w:pPr>
      <w:r>
        <w:rPr>
          <w:rFonts w:hint="eastAsia" w:ascii="方正小标宋简体" w:hAnsi="楷体" w:eastAsia="方正小标宋简体" w:cs="楷体"/>
          <w:b/>
          <w:bCs/>
          <w:color w:val="auto"/>
          <w:sz w:val="36"/>
          <w:szCs w:val="36"/>
          <w:highlight w:val="none"/>
        </w:rPr>
        <w:t>北京市西城区卫生健康委员会（汇总）</w:t>
      </w:r>
    </w:p>
    <w:p>
      <w:pPr>
        <w:jc w:val="center"/>
        <w:rPr>
          <w:rFonts w:ascii="方正小标宋简体" w:hAnsi="楷体" w:eastAsia="方正小标宋简体" w:cs="楷体"/>
          <w:b/>
          <w:bCs/>
          <w:color w:val="auto"/>
          <w:sz w:val="36"/>
          <w:szCs w:val="36"/>
          <w:highlight w:val="none"/>
        </w:rPr>
      </w:pPr>
      <w:r>
        <w:rPr>
          <w:rFonts w:hint="eastAsia" w:ascii="方正小标宋简体" w:hAnsi="楷体" w:eastAsia="方正小标宋简体" w:cs="楷体"/>
          <w:b/>
          <w:bCs/>
          <w:color w:val="auto"/>
          <w:sz w:val="36"/>
          <w:szCs w:val="36"/>
          <w:highlight w:val="none"/>
          <w:lang w:eastAsia="zh-CN"/>
        </w:rPr>
        <w:t>202</w:t>
      </w:r>
      <w:r>
        <w:rPr>
          <w:rFonts w:hint="eastAsia" w:ascii="方正小标宋简体" w:hAnsi="楷体" w:eastAsia="方正小标宋简体" w:cs="楷体"/>
          <w:b/>
          <w:bCs/>
          <w:color w:val="auto"/>
          <w:sz w:val="36"/>
          <w:szCs w:val="36"/>
          <w:highlight w:val="none"/>
          <w:lang w:val="en-US" w:eastAsia="zh-CN"/>
        </w:rPr>
        <w:t>2</w:t>
      </w:r>
      <w:r>
        <w:rPr>
          <w:rFonts w:hint="eastAsia" w:ascii="方正小标宋简体" w:hAnsi="楷体" w:eastAsia="方正小标宋简体" w:cs="楷体"/>
          <w:b/>
          <w:bCs/>
          <w:color w:val="auto"/>
          <w:sz w:val="36"/>
          <w:szCs w:val="36"/>
          <w:highlight w:val="none"/>
        </w:rPr>
        <w:t>年预算编制说明</w:t>
      </w:r>
    </w:p>
    <w:p>
      <w:pPr>
        <w:spacing w:line="560" w:lineRule="exact"/>
        <w:jc w:val="center"/>
        <w:rPr>
          <w:rFonts w:ascii="仿宋_GB2312" w:eastAsia="仿宋_GB2312"/>
          <w:color w:val="auto"/>
          <w:sz w:val="32"/>
          <w:szCs w:val="32"/>
          <w:highlight w:val="none"/>
        </w:rPr>
      </w:pPr>
    </w:p>
    <w:p>
      <w:pPr>
        <w:spacing w:line="56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目录</w:t>
      </w:r>
    </w:p>
    <w:p>
      <w:pPr>
        <w:spacing w:line="560" w:lineRule="exact"/>
        <w:jc w:val="center"/>
        <w:rPr>
          <w:rFonts w:ascii="仿宋_GB2312" w:eastAsia="仿宋_GB2312"/>
          <w:color w:val="auto"/>
          <w:sz w:val="32"/>
          <w:szCs w:val="32"/>
          <w:highlight w:val="none"/>
        </w:rPr>
      </w:pPr>
    </w:p>
    <w:p>
      <w:pPr>
        <w:spacing w:line="560" w:lineRule="exac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第一部分</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年度</w:t>
      </w:r>
      <w:r>
        <w:rPr>
          <w:rFonts w:ascii="仿宋_GB2312" w:eastAsia="仿宋_GB2312"/>
          <w:color w:val="auto"/>
          <w:sz w:val="32"/>
          <w:szCs w:val="32"/>
          <w:highlight w:val="none"/>
        </w:rPr>
        <w:t>部门预算情况说明</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部门主要职责及机构设置情况</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（一）部门</w:t>
      </w:r>
      <w:r>
        <w:rPr>
          <w:rFonts w:ascii="仿宋_GB2312" w:eastAsia="仿宋_GB2312"/>
          <w:color w:val="auto"/>
          <w:sz w:val="32"/>
          <w:szCs w:val="32"/>
          <w:highlight w:val="none"/>
        </w:rPr>
        <w:t>机构设置、职责</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（二）人员</w:t>
      </w:r>
      <w:r>
        <w:rPr>
          <w:rFonts w:ascii="仿宋_GB2312" w:eastAsia="仿宋_GB2312"/>
          <w:color w:val="auto"/>
          <w:sz w:val="32"/>
          <w:szCs w:val="32"/>
          <w:highlight w:val="none"/>
        </w:rPr>
        <w:t>构成情况</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年部门预算</w:t>
      </w:r>
      <w:r>
        <w:rPr>
          <w:rFonts w:ascii="仿宋_GB2312" w:eastAsia="仿宋_GB2312"/>
          <w:color w:val="auto"/>
          <w:sz w:val="32"/>
          <w:szCs w:val="32"/>
          <w:highlight w:val="none"/>
        </w:rPr>
        <w:t>收支</w:t>
      </w:r>
      <w:r>
        <w:rPr>
          <w:rFonts w:hint="eastAsia" w:ascii="仿宋_GB2312" w:eastAsia="仿宋_GB2312"/>
          <w:color w:val="auto"/>
          <w:sz w:val="32"/>
          <w:szCs w:val="32"/>
          <w:highlight w:val="none"/>
        </w:rPr>
        <w:t>及增减变化</w:t>
      </w:r>
      <w:r>
        <w:rPr>
          <w:rFonts w:ascii="仿宋_GB2312" w:eastAsia="仿宋_GB2312"/>
          <w:color w:val="auto"/>
          <w:sz w:val="32"/>
          <w:szCs w:val="32"/>
          <w:highlight w:val="none"/>
        </w:rPr>
        <w:t>情况</w:t>
      </w:r>
      <w:r>
        <w:rPr>
          <w:rFonts w:hint="eastAsia" w:ascii="仿宋_GB2312" w:eastAsia="仿宋_GB2312"/>
          <w:color w:val="auto"/>
          <w:sz w:val="32"/>
          <w:szCs w:val="32"/>
          <w:highlight w:val="none"/>
        </w:rPr>
        <w:t>说明</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rPr>
        <w:t>（一）收入</w:t>
      </w:r>
      <w:r>
        <w:rPr>
          <w:rFonts w:ascii="仿宋_GB2312" w:eastAsia="仿宋_GB2312"/>
          <w:color w:val="auto"/>
          <w:sz w:val="32"/>
          <w:szCs w:val="32"/>
          <w:highlight w:val="none"/>
        </w:rPr>
        <w:t>预算说明</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rPr>
        <w:t>（二）支出</w:t>
      </w:r>
      <w:r>
        <w:rPr>
          <w:rFonts w:ascii="仿宋_GB2312" w:eastAsia="仿宋_GB2312"/>
          <w:color w:val="auto"/>
          <w:sz w:val="32"/>
          <w:szCs w:val="32"/>
          <w:highlight w:val="none"/>
        </w:rPr>
        <w:t>预算说明</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、主要支出情况</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四、</w:t>
      </w:r>
      <w:r>
        <w:rPr>
          <w:rFonts w:ascii="仿宋_GB2312" w:eastAsia="仿宋_GB2312"/>
          <w:color w:val="auto"/>
          <w:sz w:val="32"/>
          <w:szCs w:val="32"/>
          <w:highlight w:val="none"/>
        </w:rPr>
        <w:t>部门“</w:t>
      </w:r>
      <w:r>
        <w:rPr>
          <w:rFonts w:hint="eastAsia" w:ascii="仿宋_GB2312" w:eastAsia="仿宋_GB2312"/>
          <w:color w:val="auto"/>
          <w:sz w:val="32"/>
          <w:szCs w:val="32"/>
          <w:highlight w:val="none"/>
        </w:rPr>
        <w:t>三公</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经费</w:t>
      </w:r>
      <w:r>
        <w:rPr>
          <w:rFonts w:ascii="仿宋_GB2312" w:eastAsia="仿宋_GB2312"/>
          <w:color w:val="auto"/>
          <w:sz w:val="32"/>
          <w:szCs w:val="32"/>
          <w:highlight w:val="none"/>
        </w:rPr>
        <w:t>财政拨款预算说明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经费的</w:t>
      </w:r>
      <w:r>
        <w:rPr>
          <w:rFonts w:ascii="仿宋_GB2312" w:eastAsia="仿宋_GB2312"/>
          <w:color w:val="auto"/>
          <w:sz w:val="32"/>
          <w:szCs w:val="32"/>
          <w:highlight w:val="none"/>
        </w:rPr>
        <w:t>单位</w:t>
      </w:r>
      <w:r>
        <w:rPr>
          <w:rFonts w:hint="eastAsia" w:ascii="仿宋_GB2312" w:eastAsia="仿宋_GB2312"/>
          <w:color w:val="auto"/>
          <w:sz w:val="32"/>
          <w:szCs w:val="32"/>
          <w:highlight w:val="none"/>
        </w:rPr>
        <w:t>范围</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经费预算财政</w:t>
      </w:r>
      <w:r>
        <w:rPr>
          <w:rFonts w:ascii="仿宋_GB2312" w:eastAsia="仿宋_GB2312"/>
          <w:color w:val="auto"/>
          <w:sz w:val="32"/>
          <w:szCs w:val="32"/>
          <w:highlight w:val="none"/>
        </w:rPr>
        <w:t>拨款情况</w:t>
      </w:r>
      <w:r>
        <w:rPr>
          <w:rFonts w:hint="eastAsia" w:ascii="仿宋_GB2312" w:eastAsia="仿宋_GB2312"/>
          <w:color w:val="auto"/>
          <w:sz w:val="32"/>
          <w:szCs w:val="32"/>
          <w:highlight w:val="none"/>
        </w:rPr>
        <w:t>说明</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、其他情况说明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（一）机</w:t>
      </w:r>
      <w:r>
        <w:rPr>
          <w:rFonts w:hint="eastAsia" w:ascii="仿宋_GB2312" w:eastAsia="仿宋_GB2312"/>
          <w:color w:val="auto"/>
          <w:sz w:val="32"/>
          <w:szCs w:val="32"/>
          <w:highlight w:val="none"/>
          <w:lang w:eastAsia="zh-CN"/>
        </w:rPr>
        <w:t>关</w:t>
      </w:r>
      <w:r>
        <w:rPr>
          <w:rFonts w:hint="eastAsia" w:ascii="仿宋_GB2312" w:eastAsia="仿宋_GB2312"/>
          <w:color w:val="auto"/>
          <w:sz w:val="32"/>
          <w:szCs w:val="32"/>
          <w:highlight w:val="none"/>
        </w:rPr>
        <w:t>运行经费</w:t>
      </w:r>
      <w:r>
        <w:rPr>
          <w:rFonts w:ascii="仿宋_GB2312" w:eastAsia="仿宋_GB2312"/>
          <w:color w:val="auto"/>
          <w:sz w:val="32"/>
          <w:szCs w:val="32"/>
          <w:highlight w:val="none"/>
        </w:rPr>
        <w:t>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（二）政府</w:t>
      </w:r>
      <w:r>
        <w:rPr>
          <w:rFonts w:ascii="仿宋_GB2312" w:eastAsia="仿宋_GB2312"/>
          <w:color w:val="auto"/>
          <w:sz w:val="32"/>
          <w:szCs w:val="32"/>
          <w:highlight w:val="none"/>
        </w:rPr>
        <w:t>采购预算说明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（三）政府购买服务</w:t>
      </w:r>
      <w:r>
        <w:rPr>
          <w:rFonts w:ascii="仿宋_GB2312" w:eastAsia="仿宋_GB2312"/>
          <w:color w:val="auto"/>
          <w:sz w:val="32"/>
          <w:szCs w:val="32"/>
          <w:highlight w:val="none"/>
        </w:rPr>
        <w:t>预算说明</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（四）</w:t>
      </w:r>
      <w:r>
        <w:rPr>
          <w:rFonts w:ascii="仿宋_GB2312" w:eastAsia="仿宋_GB2312"/>
          <w:color w:val="auto"/>
          <w:sz w:val="32"/>
          <w:szCs w:val="32"/>
          <w:highlight w:val="none"/>
        </w:rPr>
        <w:t>绩效目标情况</w:t>
      </w:r>
      <w:r>
        <w:rPr>
          <w:rFonts w:hint="eastAsia" w:ascii="仿宋_GB2312" w:eastAsia="仿宋_GB2312"/>
          <w:color w:val="auto"/>
          <w:sz w:val="32"/>
          <w:szCs w:val="32"/>
          <w:highlight w:val="none"/>
        </w:rPr>
        <w:t>及绩效评价结果</w:t>
      </w:r>
      <w:r>
        <w:rPr>
          <w:rFonts w:ascii="仿宋_GB2312" w:eastAsia="仿宋_GB2312"/>
          <w:color w:val="auto"/>
          <w:sz w:val="32"/>
          <w:szCs w:val="32"/>
          <w:highlight w:val="none"/>
        </w:rPr>
        <w:t>说明</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（五）国有</w:t>
      </w:r>
      <w:r>
        <w:rPr>
          <w:rFonts w:ascii="仿宋_GB2312" w:eastAsia="仿宋_GB2312"/>
          <w:color w:val="auto"/>
          <w:sz w:val="32"/>
          <w:szCs w:val="32"/>
          <w:highlight w:val="none"/>
        </w:rPr>
        <w:t>资本经营预算财政拨款</w:t>
      </w:r>
      <w:r>
        <w:rPr>
          <w:rFonts w:hint="eastAsia" w:ascii="仿宋_GB2312" w:eastAsia="仿宋_GB2312"/>
          <w:color w:val="auto"/>
          <w:sz w:val="32"/>
          <w:szCs w:val="32"/>
          <w:highlight w:val="none"/>
        </w:rPr>
        <w:t>情况</w:t>
      </w:r>
      <w:r>
        <w:rPr>
          <w:rFonts w:ascii="仿宋_GB2312" w:eastAsia="仿宋_GB2312"/>
          <w:color w:val="auto"/>
          <w:sz w:val="32"/>
          <w:szCs w:val="32"/>
          <w:highlight w:val="none"/>
        </w:rPr>
        <w:t>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（六）国有资产</w:t>
      </w:r>
      <w:r>
        <w:rPr>
          <w:rFonts w:ascii="仿宋_GB2312" w:eastAsia="仿宋_GB2312"/>
          <w:color w:val="auto"/>
          <w:sz w:val="32"/>
          <w:szCs w:val="32"/>
          <w:highlight w:val="none"/>
        </w:rPr>
        <w:t>占用情况说明</w:t>
      </w:r>
    </w:p>
    <w:p>
      <w:pPr>
        <w:spacing w:line="56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（七）重点行政事业性收费情况说明</w:t>
      </w:r>
    </w:p>
    <w:p>
      <w:pPr>
        <w:spacing w:line="560" w:lineRule="exact"/>
        <w:ind w:firstLine="640" w:firstLineChars="200"/>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（八）政府性基金预算财政拨款情况说明</w:t>
      </w:r>
    </w:p>
    <w:p>
      <w:pPr>
        <w:spacing w:line="560" w:lineRule="exact"/>
        <w:ind w:firstLine="960" w:firstLineChars="300"/>
        <w:rPr>
          <w:rFonts w:ascii="仿宋_GB2312" w:eastAsia="仿宋_GB2312"/>
          <w:color w:val="auto"/>
          <w:sz w:val="32"/>
          <w:szCs w:val="32"/>
          <w:highlight w:val="none"/>
        </w:rPr>
      </w:pPr>
      <w:r>
        <w:rPr>
          <w:rFonts w:hint="eastAsia" w:ascii="仿宋_GB2312" w:eastAsia="仿宋_GB2312"/>
          <w:color w:val="auto"/>
          <w:sz w:val="32"/>
          <w:szCs w:val="32"/>
          <w:highlight w:val="none"/>
        </w:rPr>
        <w:t>六</w:t>
      </w:r>
      <w:r>
        <w:rPr>
          <w:rFonts w:ascii="仿宋_GB2312" w:eastAsia="仿宋_GB2312"/>
          <w:color w:val="auto"/>
          <w:sz w:val="32"/>
          <w:szCs w:val="32"/>
          <w:highlight w:val="none"/>
        </w:rPr>
        <w:t>、名称</w:t>
      </w:r>
      <w:r>
        <w:rPr>
          <w:rFonts w:hint="eastAsia" w:ascii="仿宋_GB2312" w:eastAsia="仿宋_GB2312"/>
          <w:color w:val="auto"/>
          <w:sz w:val="32"/>
          <w:szCs w:val="32"/>
          <w:highlight w:val="none"/>
        </w:rPr>
        <w:t>解释</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第二部分</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年度</w:t>
      </w:r>
      <w:r>
        <w:rPr>
          <w:rFonts w:ascii="仿宋_GB2312" w:eastAsia="仿宋_GB2312"/>
          <w:color w:val="auto"/>
          <w:sz w:val="32"/>
          <w:szCs w:val="32"/>
          <w:highlight w:val="none"/>
        </w:rPr>
        <w:t>部门预算</w:t>
      </w:r>
      <w:r>
        <w:rPr>
          <w:rFonts w:hint="eastAsia" w:ascii="仿宋_GB2312" w:eastAsia="仿宋_GB2312"/>
          <w:color w:val="auto"/>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auto"/>
          <w:kern w:val="0"/>
          <w:sz w:val="32"/>
          <w:szCs w:val="32"/>
          <w:highlight w:val="none"/>
          <w:lang w:val="zh-CN"/>
        </w:rPr>
      </w:pPr>
      <w:r>
        <w:rPr>
          <w:rFonts w:hint="eastAsia" w:ascii="仿宋_GB2312" w:eastAsia="仿宋_GB2312" w:cs="宋体"/>
          <w:color w:val="auto"/>
          <w:kern w:val="0"/>
          <w:sz w:val="32"/>
          <w:szCs w:val="32"/>
          <w:highlight w:val="none"/>
          <w:lang w:val="zh-CN"/>
        </w:rPr>
        <w:t xml:space="preserve">表一、收支总表 </w:t>
      </w:r>
    </w:p>
    <w:p>
      <w:pPr>
        <w:autoSpaceDE w:val="0"/>
        <w:autoSpaceDN w:val="0"/>
        <w:adjustRightInd w:val="0"/>
        <w:spacing w:line="560" w:lineRule="exact"/>
        <w:ind w:firstLine="1132" w:firstLineChars="354"/>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表二、收入总表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w:t>
      </w:r>
      <w:r>
        <w:rPr>
          <w:rFonts w:hint="eastAsia" w:ascii="仿宋_GB2312" w:eastAsia="仿宋_GB2312"/>
          <w:color w:val="auto"/>
          <w:sz w:val="32"/>
          <w:szCs w:val="32"/>
          <w:highlight w:val="none"/>
          <w:lang w:eastAsia="zh-CN"/>
        </w:rPr>
        <w:t>预算总</w:t>
      </w:r>
      <w:r>
        <w:rPr>
          <w:rFonts w:hint="eastAsia" w:ascii="仿宋_GB2312" w:eastAsia="仿宋_GB2312"/>
          <w:color w:val="auto"/>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表四、项目支出表</w:t>
      </w:r>
    </w:p>
    <w:p>
      <w:pPr>
        <w:autoSpaceDE w:val="0"/>
        <w:autoSpaceDN w:val="0"/>
        <w:adjustRightInd w:val="0"/>
        <w:spacing w:line="560" w:lineRule="exact"/>
        <w:ind w:firstLine="1132" w:firstLineChars="354"/>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表</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、财政拨款收支预算总表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、一般公共预算财政拨款支出表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表七、一般公共预算财政拨款基本支出表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表八、政府性基金预算财政拨款支出表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表九、</w:t>
      </w:r>
      <w:r>
        <w:rPr>
          <w:rFonts w:hint="eastAsia" w:ascii="仿宋_GB2312" w:eastAsia="仿宋_GB2312"/>
          <w:color w:val="auto"/>
          <w:sz w:val="32"/>
          <w:szCs w:val="32"/>
          <w:highlight w:val="none"/>
        </w:rPr>
        <w:t>国有资本经营预算财政拨款支出表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w:t>
      </w:r>
      <w:r>
        <w:rPr>
          <w:rFonts w:hint="eastAsia" w:ascii="仿宋_GB2312" w:eastAsia="仿宋_GB2312"/>
          <w:color w:val="auto"/>
          <w:sz w:val="32"/>
          <w:szCs w:val="32"/>
          <w:highlight w:val="none"/>
          <w:lang w:eastAsia="zh-CN"/>
        </w:rPr>
        <w:t>十</w:t>
      </w:r>
      <w:r>
        <w:rPr>
          <w:rFonts w:hint="eastAsia" w:ascii="仿宋_GB2312" w:eastAsia="仿宋_GB2312"/>
          <w:color w:val="auto"/>
          <w:sz w:val="32"/>
          <w:szCs w:val="32"/>
          <w:highlight w:val="none"/>
        </w:rPr>
        <w:t>、一般公共预算“三公”经费支出情况表</w:t>
      </w:r>
    </w:p>
    <w:p>
      <w:pPr>
        <w:autoSpaceDE w:val="0"/>
        <w:autoSpaceDN w:val="0"/>
        <w:adjustRightInd w:val="0"/>
        <w:spacing w:line="560" w:lineRule="exact"/>
        <w:ind w:firstLine="1132" w:firstLineChars="354"/>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表十一、政府购买服务预算财政拨款明细表</w:t>
      </w:r>
    </w:p>
    <w:p>
      <w:pPr>
        <w:autoSpaceDE w:val="0"/>
        <w:autoSpaceDN w:val="0"/>
        <w:adjustRightInd w:val="0"/>
        <w:spacing w:line="560" w:lineRule="exact"/>
        <w:ind w:firstLine="1132" w:firstLineChars="354"/>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表十</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、上级转移支付细化明细表</w:t>
      </w:r>
    </w:p>
    <w:p>
      <w:pPr>
        <w:autoSpaceDE w:val="0"/>
        <w:autoSpaceDN w:val="0"/>
        <w:adjustRightInd w:val="0"/>
        <w:spacing w:line="560" w:lineRule="exact"/>
        <w:ind w:firstLine="1132" w:firstLineChars="354"/>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表十</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、年度项目支出绩效表</w:t>
      </w:r>
    </w:p>
    <w:p>
      <w:pPr>
        <w:spacing w:line="560" w:lineRule="exact"/>
        <w:ind w:firstLine="1132" w:firstLineChars="354"/>
        <w:rPr>
          <w:rFonts w:ascii="仿宋_GB2312" w:eastAsia="仿宋_GB2312"/>
          <w:color w:val="auto"/>
          <w:sz w:val="32"/>
          <w:szCs w:val="32"/>
          <w:highlight w:val="none"/>
        </w:rPr>
      </w:pPr>
      <w:r>
        <w:rPr>
          <w:rFonts w:hint="eastAsia" w:ascii="仿宋_GB2312" w:eastAsia="仿宋_GB2312"/>
          <w:color w:val="auto"/>
          <w:sz w:val="32"/>
          <w:szCs w:val="32"/>
          <w:highlight w:val="none"/>
        </w:rPr>
        <w:t>表十</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、部门整体支出绩效目标申报表</w:t>
      </w:r>
    </w:p>
    <w:p>
      <w:pPr>
        <w:spacing w:line="560" w:lineRule="exact"/>
        <w:ind w:firstLine="1132" w:firstLineChars="354"/>
        <w:rPr>
          <w:rFonts w:ascii="仿宋_GB2312" w:eastAsia="仿宋_GB2312"/>
          <w:color w:val="auto"/>
          <w:sz w:val="32"/>
          <w:szCs w:val="32"/>
          <w:highlight w:val="none"/>
        </w:rPr>
      </w:pPr>
    </w:p>
    <w:p>
      <w:pPr>
        <w:spacing w:line="560" w:lineRule="exact"/>
        <w:ind w:firstLine="960" w:firstLineChars="300"/>
        <w:rPr>
          <w:rFonts w:ascii="仿宋_GB2312" w:eastAsia="仿宋_GB2312"/>
          <w:color w:val="auto"/>
          <w:sz w:val="32"/>
          <w:szCs w:val="32"/>
          <w:highlight w:val="none"/>
        </w:rPr>
      </w:pPr>
    </w:p>
    <w:p>
      <w:pPr>
        <w:spacing w:line="560" w:lineRule="exact"/>
        <w:ind w:firstLine="960" w:firstLineChars="300"/>
        <w:rPr>
          <w:rFonts w:ascii="仿宋_GB2312" w:eastAsia="仿宋_GB2312"/>
          <w:color w:val="auto"/>
          <w:sz w:val="32"/>
          <w:szCs w:val="32"/>
          <w:highlight w:val="none"/>
        </w:rPr>
      </w:pPr>
    </w:p>
    <w:p>
      <w:pPr>
        <w:spacing w:line="560" w:lineRule="exact"/>
        <w:ind w:firstLine="960" w:firstLineChars="300"/>
        <w:rPr>
          <w:rFonts w:ascii="仿宋_GB2312" w:eastAsia="仿宋_GB2312"/>
          <w:color w:val="auto"/>
          <w:sz w:val="32"/>
          <w:szCs w:val="32"/>
          <w:highlight w:val="none"/>
        </w:rPr>
      </w:pPr>
    </w:p>
    <w:p>
      <w:pPr>
        <w:spacing w:line="560" w:lineRule="exact"/>
        <w:ind w:firstLine="960" w:firstLineChars="300"/>
        <w:rPr>
          <w:rFonts w:ascii="仿宋_GB2312" w:eastAsia="仿宋_GB2312"/>
          <w:color w:val="auto"/>
          <w:sz w:val="32"/>
          <w:szCs w:val="32"/>
          <w:highlight w:val="none"/>
        </w:rPr>
      </w:pPr>
    </w:p>
    <w:p>
      <w:pPr>
        <w:spacing w:line="560" w:lineRule="exact"/>
        <w:ind w:firstLine="960" w:firstLineChars="300"/>
        <w:rPr>
          <w:rFonts w:hint="eastAsia" w:ascii="仿宋_GB2312" w:eastAsia="仿宋_GB2312"/>
          <w:color w:val="auto"/>
          <w:sz w:val="32"/>
          <w:szCs w:val="32"/>
          <w:highlight w:val="none"/>
        </w:rPr>
      </w:pPr>
    </w:p>
    <w:p>
      <w:pPr>
        <w:spacing w:line="560" w:lineRule="exact"/>
        <w:ind w:firstLine="960" w:firstLineChars="300"/>
        <w:rPr>
          <w:rFonts w:hint="eastAsia" w:ascii="仿宋_GB2312" w:eastAsia="仿宋_GB2312"/>
          <w:color w:val="auto"/>
          <w:sz w:val="32"/>
          <w:szCs w:val="32"/>
          <w:highlight w:val="none"/>
        </w:rPr>
      </w:pPr>
    </w:p>
    <w:p>
      <w:pPr>
        <w:spacing w:line="560" w:lineRule="exact"/>
        <w:ind w:firstLine="960" w:firstLineChars="300"/>
        <w:rPr>
          <w:rFonts w:hint="eastAsia" w:ascii="仿宋_GB2312" w:eastAsia="仿宋_GB2312"/>
          <w:color w:val="auto"/>
          <w:sz w:val="32"/>
          <w:szCs w:val="32"/>
          <w:highlight w:val="none"/>
        </w:rPr>
      </w:pPr>
    </w:p>
    <w:p>
      <w:pPr>
        <w:spacing w:line="560" w:lineRule="exact"/>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第一部分</w:t>
      </w:r>
      <w:r>
        <w:rPr>
          <w:rFonts w:ascii="黑体" w:hAnsi="黑体" w:eastAsia="黑体"/>
          <w:b/>
          <w:color w:val="auto"/>
          <w:sz w:val="32"/>
          <w:szCs w:val="32"/>
          <w:highlight w:val="none"/>
        </w:rPr>
        <w:t>、</w:t>
      </w:r>
      <w:r>
        <w:rPr>
          <w:rFonts w:hint="eastAsia" w:ascii="黑体" w:hAnsi="黑体" w:eastAsia="黑体"/>
          <w:b/>
          <w:color w:val="auto"/>
          <w:sz w:val="32"/>
          <w:szCs w:val="32"/>
          <w:highlight w:val="none"/>
          <w:lang w:eastAsia="zh-CN"/>
        </w:rPr>
        <w:t>2022</w:t>
      </w:r>
      <w:r>
        <w:rPr>
          <w:rFonts w:hint="eastAsia" w:ascii="黑体" w:hAnsi="黑体" w:eastAsia="黑体"/>
          <w:b/>
          <w:color w:val="auto"/>
          <w:sz w:val="32"/>
          <w:szCs w:val="32"/>
          <w:highlight w:val="none"/>
        </w:rPr>
        <w:t>年度</w:t>
      </w:r>
      <w:r>
        <w:rPr>
          <w:rFonts w:ascii="黑体" w:hAnsi="黑体" w:eastAsia="黑体"/>
          <w:b/>
          <w:color w:val="auto"/>
          <w:sz w:val="32"/>
          <w:szCs w:val="32"/>
          <w:highlight w:val="none"/>
        </w:rPr>
        <w:t>部门预算情况说明</w:t>
      </w:r>
    </w:p>
    <w:p>
      <w:pPr>
        <w:ind w:firstLine="1767" w:firstLineChars="400"/>
        <w:rPr>
          <w:rFonts w:ascii="仿宋_GB2312" w:eastAsia="仿宋_GB2312"/>
          <w:b/>
          <w:bCs/>
          <w:color w:val="auto"/>
          <w:sz w:val="44"/>
          <w:szCs w:val="44"/>
          <w:highlight w:val="none"/>
        </w:rPr>
      </w:pPr>
    </w:p>
    <w:p>
      <w:pPr>
        <w:spacing w:line="520" w:lineRule="exact"/>
        <w:ind w:firstLine="643" w:firstLineChars="200"/>
        <w:outlineLvl w:val="0"/>
        <w:rPr>
          <w:rFonts w:ascii="仿宋" w:hAnsi="仿宋" w:eastAsia="仿宋"/>
          <w:b/>
          <w:color w:val="auto"/>
          <w:sz w:val="32"/>
          <w:szCs w:val="32"/>
          <w:highlight w:val="none"/>
        </w:rPr>
      </w:pPr>
      <w:r>
        <w:rPr>
          <w:rFonts w:hint="eastAsia" w:ascii="仿宋" w:hAnsi="仿宋" w:eastAsia="仿宋" w:cs="黑体"/>
          <w:b/>
          <w:color w:val="auto"/>
          <w:sz w:val="32"/>
          <w:szCs w:val="32"/>
          <w:highlight w:val="none"/>
        </w:rPr>
        <w:t>一、部门主要职责及机构设置情况</w:t>
      </w:r>
    </w:p>
    <w:p>
      <w:pPr>
        <w:spacing w:line="520" w:lineRule="exact"/>
        <w:ind w:firstLine="708" w:firstLineChars="235"/>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（一）部门机构设置、职责</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委卫生健康工委、区卫生健康委本级设下列内设26个科室机构，分别是：工委办公室（宣传部、统战部）、组织部、发展规划科（体制改革科）、政策法规科、疾病预防控制科（公共卫生管理科）、医政医管科、行政审批科、爱国卫生运动推进科（健康促进科）、社区卫生管理科、卫生应急办公室（突发公共卫生事件应急指挥中心）、中医管理科（科技教育科）、综合监督科 (安全生产办公室)、老龄健康科、妇幼健康科、职业健康科、家庭发展科、公众权益保障科、信息统计科、计划财务科、审计物价科、人事科、机关党委、团工委、工会、离退休干部科。</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区委卫生健康工委的主要职责是：</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1.落实党中央关于卫生健康工作的方针、政策，保证市委、区委决定和指示在区卫生健康系统（简称本系统）的贯彻执行。</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2.负责本系统党的建设工作。制定本系统党建工作指导意见、计划及配套措施，并对落实情况进行调查研究和检查指导。</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3.负责本系统落实全面从严治党主体责任相关工作，严格执行各项政治纪律和规章制度，加强对党员领导干部的监督。</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4.加强本系统干部队伍和人才队伍建设。按照干部管理权限，负责本系统领导干部和公务员管理工作。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5.负责本系统意识形态工作、思想政治工作、精神文明建设工作，加强医德医风建设。</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6.负责对本区卫生健康发展和改革中的重大问题进行调查研究，向区委、区政府提出意见和建议，或在权限范围内对有关问题作出决定。</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7.指导群团组织按照法律、章程开展活动。负责本系统维护安全稳定、统战、对台、国家安全、保密等工作。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8.完成区委交办的其他任务。</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区卫生健康委的主要职责是：</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2.负责统筹推进医药卫生体制改革工作，研究拟订医药卫生体制改革工作的规划、实施方案及相关配套措施。拟订并组织实施推动卫生健康服务的政策措施。</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4.落实国家、北京市关于应对人口老龄化政策措施，负责组织推进本区老年健康服务体系建设和医养结合工作。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5.负责本区贯彻实施国家药物政策和国家基本药物制度工作，执行国家基本药物目录。开展本区药品使用监测、临床综合评价和短缺药品预警。开展本区食品安全风险监测评估。</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6.负责职责范围内的职业卫生、放射卫生、环境卫生、学校卫生、公共场所卫生、饮用水卫生等公共卫生的监督管理，负责本区传染病防治监督，健全卫生健康综合监督体系。</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8.负责本区计划生育管理和服务工作。落实本区出生人口动态监测工作，提出发布本区人口监测预警预报信息建议。组织落实北京市计划生育政策。</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10.参与组织执行在本区举办的重大活动的医疗卫生保障任务。</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11.贯彻中西医并重的方针，落实国家及北京市关于中医药、中西医结合以及民族医药等方面的法律、法规、规章和政策，推进中医药的继承、发展与合作。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12.负责动物防疫管理工作，兽医医政、药政监督管理工作，饲料监督管理工作。</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13.按照“管行业必须管安全、管业务必须管安全、管生产经营必须管安全”的要求，承担相关安全生产工作职责。</w:t>
      </w:r>
    </w:p>
    <w:p>
      <w:pPr>
        <w:snapToGrid w:val="0"/>
        <w:spacing w:line="520" w:lineRule="exact"/>
        <w:ind w:firstLine="627" w:firstLineChars="196"/>
        <w:rPr>
          <w:rFonts w:hint="eastAsia" w:ascii="仿宋_GB2312" w:hAnsi="仿宋" w:eastAsia="仿宋_GB2312"/>
          <w:color w:val="auto"/>
          <w:sz w:val="32"/>
          <w:szCs w:val="32"/>
          <w:highlight w:val="none"/>
        </w:rPr>
      </w:pPr>
      <w:r>
        <w:rPr>
          <w:rFonts w:hint="eastAsia" w:ascii="仿宋_GB2312" w:eastAsia="仿宋_GB2312"/>
          <w:color w:val="auto"/>
          <w:sz w:val="32"/>
          <w:szCs w:val="32"/>
          <w:highlight w:val="none"/>
        </w:rPr>
        <w:t>14.完成区委、区政府交办的其他任务。</w:t>
      </w:r>
    </w:p>
    <w:p>
      <w:pPr>
        <w:spacing w:line="560" w:lineRule="exact"/>
        <w:ind w:firstLine="200"/>
        <w:rPr>
          <w:rFonts w:ascii="仿宋" w:hAnsi="仿宋" w:eastAsia="仿宋" w:cs="楷体_GB2312"/>
          <w:b/>
          <w:bCs/>
          <w:color w:val="auto"/>
          <w:sz w:val="32"/>
          <w:szCs w:val="32"/>
          <w:highlight w:val="none"/>
        </w:rPr>
      </w:pPr>
      <w:r>
        <w:rPr>
          <w:rFonts w:ascii="仿宋" w:hAnsi="仿宋" w:eastAsia="仿宋" w:cs="楷体_GB2312"/>
          <w:b/>
          <w:bCs/>
          <w:color w:val="auto"/>
          <w:sz w:val="32"/>
          <w:szCs w:val="32"/>
          <w:highlight w:val="none"/>
        </w:rPr>
        <w:t xml:space="preserve">   </w:t>
      </w:r>
      <w:r>
        <w:rPr>
          <w:rFonts w:hint="eastAsia" w:ascii="仿宋" w:hAnsi="仿宋" w:eastAsia="仿宋" w:cs="楷体_GB2312"/>
          <w:b/>
          <w:bCs/>
          <w:color w:val="auto"/>
          <w:sz w:val="32"/>
          <w:szCs w:val="32"/>
          <w:highlight w:val="none"/>
        </w:rPr>
        <w:t>（二）人员构成情况</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纳入北京市西城区卫生健康委员会</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年预算共38家单位，其中行政编制25</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人</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事业编制8447人；工勤编制0名；实际</w:t>
      </w:r>
      <w:r>
        <w:rPr>
          <w:rFonts w:hint="eastAsia" w:ascii="仿宋" w:hAnsi="仿宋" w:eastAsia="仿宋"/>
          <w:color w:val="auto"/>
          <w:sz w:val="32"/>
          <w:szCs w:val="32"/>
          <w:highlight w:val="none"/>
          <w:lang w:eastAsia="zh-CN"/>
        </w:rPr>
        <w:t>在编</w:t>
      </w:r>
      <w:r>
        <w:rPr>
          <w:rFonts w:hint="eastAsia" w:ascii="仿宋" w:hAnsi="仿宋" w:eastAsia="仿宋"/>
          <w:color w:val="auto"/>
          <w:sz w:val="32"/>
          <w:szCs w:val="32"/>
          <w:highlight w:val="none"/>
          <w:lang w:val="en-US" w:eastAsia="zh-CN"/>
        </w:rPr>
        <w:t>6742</w:t>
      </w:r>
      <w:r>
        <w:rPr>
          <w:rFonts w:hint="eastAsia" w:ascii="仿宋" w:hAnsi="仿宋" w:eastAsia="仿宋"/>
          <w:color w:val="auto"/>
          <w:sz w:val="32"/>
          <w:szCs w:val="32"/>
          <w:highlight w:val="none"/>
        </w:rPr>
        <w:t>人；长期聘用临时工</w:t>
      </w:r>
      <w:r>
        <w:rPr>
          <w:rFonts w:hint="eastAsia" w:ascii="仿宋" w:hAnsi="仿宋" w:eastAsia="仿宋"/>
          <w:color w:val="auto"/>
          <w:sz w:val="32"/>
          <w:szCs w:val="32"/>
          <w:highlight w:val="none"/>
          <w:lang w:val="en-US" w:eastAsia="zh-CN"/>
        </w:rPr>
        <w:t>1466</w:t>
      </w:r>
      <w:r>
        <w:rPr>
          <w:rFonts w:hint="eastAsia" w:ascii="仿宋" w:hAnsi="仿宋" w:eastAsia="仿宋"/>
          <w:color w:val="auto"/>
          <w:sz w:val="32"/>
          <w:szCs w:val="32"/>
          <w:highlight w:val="none"/>
        </w:rPr>
        <w:t>人。离退休人员</w:t>
      </w:r>
      <w:r>
        <w:rPr>
          <w:rFonts w:hint="eastAsia" w:ascii="仿宋" w:hAnsi="仿宋" w:eastAsia="仿宋"/>
          <w:color w:val="auto"/>
          <w:sz w:val="32"/>
          <w:szCs w:val="32"/>
          <w:highlight w:val="none"/>
          <w:lang w:val="en-US" w:eastAsia="zh-CN"/>
        </w:rPr>
        <w:t>6127</w:t>
      </w:r>
      <w:r>
        <w:rPr>
          <w:rFonts w:hint="eastAsia" w:ascii="仿宋" w:hAnsi="仿宋" w:eastAsia="仿宋"/>
          <w:color w:val="auto"/>
          <w:sz w:val="32"/>
          <w:szCs w:val="32"/>
          <w:highlight w:val="none"/>
        </w:rPr>
        <w:t>人，其中：离休</w:t>
      </w:r>
      <w:r>
        <w:rPr>
          <w:rFonts w:hint="eastAsia" w:ascii="仿宋" w:hAnsi="仿宋" w:eastAsia="仿宋"/>
          <w:color w:val="auto"/>
          <w:sz w:val="32"/>
          <w:szCs w:val="32"/>
          <w:highlight w:val="none"/>
          <w:lang w:val="en-US" w:eastAsia="zh-CN"/>
        </w:rPr>
        <w:t>91</w:t>
      </w:r>
      <w:r>
        <w:rPr>
          <w:rFonts w:hint="eastAsia" w:ascii="仿宋" w:hAnsi="仿宋" w:eastAsia="仿宋"/>
          <w:color w:val="auto"/>
          <w:sz w:val="32"/>
          <w:szCs w:val="32"/>
          <w:highlight w:val="none"/>
        </w:rPr>
        <w:t>人，退休</w:t>
      </w:r>
      <w:r>
        <w:rPr>
          <w:rFonts w:hint="eastAsia" w:ascii="仿宋" w:hAnsi="仿宋" w:eastAsia="仿宋"/>
          <w:color w:val="auto"/>
          <w:sz w:val="32"/>
          <w:szCs w:val="32"/>
          <w:highlight w:val="none"/>
          <w:lang w:val="en-US" w:eastAsia="zh-CN"/>
        </w:rPr>
        <w:t>6036</w:t>
      </w:r>
      <w:r>
        <w:rPr>
          <w:rFonts w:hint="eastAsia" w:ascii="仿宋" w:hAnsi="仿宋" w:eastAsia="仿宋"/>
          <w:color w:val="auto"/>
          <w:sz w:val="32"/>
          <w:szCs w:val="32"/>
          <w:highlight w:val="none"/>
        </w:rPr>
        <w:t>人。</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具体单位名称如下：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6520" w:type="dxa"/>
          </w:tcPr>
          <w:p>
            <w:pPr>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单位名称</w:t>
            </w:r>
          </w:p>
        </w:tc>
        <w:tc>
          <w:tcPr>
            <w:tcW w:w="1043" w:type="dxa"/>
          </w:tcPr>
          <w:p>
            <w:pPr>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北京市西城区卫生健康委员会（本级）</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北京市西城区卫生</w:t>
            </w:r>
            <w:r>
              <w:rPr>
                <w:rFonts w:hint="eastAsia" w:ascii="仿宋" w:hAnsi="仿宋" w:eastAsia="仿宋"/>
                <w:color w:val="auto"/>
                <w:sz w:val="28"/>
                <w:szCs w:val="28"/>
                <w:highlight w:val="none"/>
                <w:lang w:eastAsia="zh-CN"/>
              </w:rPr>
              <w:t>健康</w:t>
            </w:r>
            <w:r>
              <w:rPr>
                <w:rFonts w:hint="eastAsia" w:ascii="仿宋" w:hAnsi="仿宋" w:eastAsia="仿宋"/>
                <w:color w:val="auto"/>
                <w:sz w:val="28"/>
                <w:szCs w:val="28"/>
                <w:highlight w:val="none"/>
              </w:rPr>
              <w:t>监督所</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北京市西城区动物卫生监督所</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4</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北京市西城区疾病预防控制中心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5</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北京市西城区社区卫生服务管理中心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6</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 xml:space="preserve">北京市西城区医疗机构管理中心 </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7</w:t>
            </w:r>
          </w:p>
        </w:tc>
        <w:tc>
          <w:tcPr>
            <w:tcW w:w="6520" w:type="dxa"/>
            <w:vAlign w:val="center"/>
          </w:tcPr>
          <w:p>
            <w:pPr>
              <w:spacing w:line="400" w:lineRule="exact"/>
              <w:rPr>
                <w:rFonts w:hint="eastAsia" w:ascii="仿宋" w:hAnsi="仿宋" w:eastAsia="仿宋" w:cs="宋体"/>
                <w:color w:val="auto"/>
                <w:sz w:val="28"/>
                <w:szCs w:val="28"/>
                <w:highlight w:val="none"/>
                <w:lang w:eastAsia="zh-CN"/>
              </w:rPr>
            </w:pPr>
            <w:r>
              <w:rPr>
                <w:rFonts w:hint="eastAsia" w:ascii="仿宋" w:hAnsi="仿宋" w:eastAsia="仿宋"/>
                <w:color w:val="auto"/>
                <w:sz w:val="28"/>
                <w:szCs w:val="28"/>
                <w:highlight w:val="none"/>
              </w:rPr>
              <w:t>北京市西城区</w:t>
            </w:r>
            <w:r>
              <w:rPr>
                <w:rFonts w:hint="eastAsia" w:ascii="仿宋" w:hAnsi="仿宋" w:eastAsia="仿宋"/>
                <w:color w:val="auto"/>
                <w:sz w:val="28"/>
                <w:szCs w:val="28"/>
                <w:highlight w:val="none"/>
                <w:lang w:eastAsia="zh-CN"/>
              </w:rPr>
              <w:t>智慧健康研究中心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8</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北京市西城区卫生学校</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9</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北京市西城区急救站</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10</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北京市宣武广安门内大街托儿所</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11</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北京市西城区精神卫生保健所</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12</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北京市西城区计划生育药具管理站</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13</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北京市西城区白纸坊社区卫生服务中心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14</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北京市西城区椿树社区卫生服务中心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15</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北京市西城区大栅栏社区卫生服务中心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16</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北京市西城区德胜社区卫生服务中心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17</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北京市西城区广内社区卫生服务中心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18</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北京市西城区广外社区卫生服务中心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19</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北京市西城区金融街社区卫生服务中心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20</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北京市西城区牛街社区卫生服务中心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21</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北京市西城区什刹海社区卫生服务中心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22</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北京市西城区陶然亭社区卫生服务中心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23</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北京市西城区天桥社区卫生服务中心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24</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北京市西城区西长安街社区卫生服务中心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25</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北京市西城区新街口社区卫生服务中心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26</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首都医科大学附属复兴医院月坛社区卫生服务中心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27</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北京市西城区展览路社区卫生服务中心</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28</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首都医科大学附属复兴医院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29</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北京市西城区展览路医院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30</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北京市第二医院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31</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北京市西城区广外医院（北京市西城区广外老年医院）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32</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北京市西城区妇幼保健计划生育服务中心(北京市西城区妇幼保健院)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33</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北京市肛肠医院（北京市二龙路医院）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34</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北京市回民医院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35</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北京中医药大学附属护国寺中医医院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36</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北京市宣武中医</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37</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北京市丰盛中医骨伤专科医院</w:t>
            </w:r>
          </w:p>
        </w:tc>
        <w:tc>
          <w:tcPr>
            <w:tcW w:w="1043" w:type="dxa"/>
          </w:tcPr>
          <w:p>
            <w:pPr>
              <w:spacing w:line="400" w:lineRule="exact"/>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color w:val="auto"/>
                <w:sz w:val="24"/>
                <w:szCs w:val="24"/>
                <w:highlight w:val="none"/>
              </w:rPr>
            </w:pPr>
            <w:r>
              <w:rPr>
                <w:rFonts w:hint="eastAsia" w:ascii="仿宋" w:hAnsi="仿宋" w:eastAsia="仿宋"/>
                <w:color w:val="auto"/>
                <w:sz w:val="24"/>
                <w:szCs w:val="24"/>
                <w:highlight w:val="none"/>
              </w:rPr>
              <w:t>38</w:t>
            </w:r>
          </w:p>
        </w:tc>
        <w:tc>
          <w:tcPr>
            <w:tcW w:w="6520" w:type="dxa"/>
            <w:vAlign w:val="center"/>
          </w:tcPr>
          <w:p>
            <w:pPr>
              <w:spacing w:line="400" w:lineRule="exact"/>
              <w:rPr>
                <w:rFonts w:ascii="仿宋" w:hAnsi="仿宋" w:eastAsia="仿宋" w:cs="宋体"/>
                <w:color w:val="auto"/>
                <w:sz w:val="28"/>
                <w:szCs w:val="28"/>
                <w:highlight w:val="none"/>
              </w:rPr>
            </w:pPr>
            <w:r>
              <w:rPr>
                <w:rFonts w:hint="eastAsia" w:ascii="仿宋" w:hAnsi="仿宋" w:eastAsia="仿宋"/>
                <w:color w:val="auto"/>
                <w:sz w:val="28"/>
                <w:szCs w:val="28"/>
                <w:highlight w:val="none"/>
              </w:rPr>
              <w:t>北京市西城区平安医院</w:t>
            </w:r>
          </w:p>
        </w:tc>
        <w:tc>
          <w:tcPr>
            <w:tcW w:w="1043" w:type="dxa"/>
          </w:tcPr>
          <w:p>
            <w:pPr>
              <w:spacing w:line="400" w:lineRule="exact"/>
              <w:rPr>
                <w:rFonts w:ascii="仿宋" w:hAnsi="仿宋" w:eastAsia="仿宋"/>
                <w:color w:val="auto"/>
                <w:sz w:val="32"/>
                <w:szCs w:val="32"/>
                <w:highlight w:val="none"/>
              </w:rPr>
            </w:pPr>
          </w:p>
        </w:tc>
      </w:tr>
    </w:tbl>
    <w:p>
      <w:pPr>
        <w:spacing w:line="560" w:lineRule="exact"/>
        <w:ind w:firstLine="640" w:firstLineChars="20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2022</w:t>
      </w:r>
      <w:r>
        <w:rPr>
          <w:rFonts w:hint="eastAsia" w:ascii="黑体" w:hAnsi="黑体" w:eastAsia="黑体" w:cs="黑体"/>
          <w:color w:val="auto"/>
          <w:sz w:val="32"/>
          <w:szCs w:val="32"/>
          <w:highlight w:val="none"/>
        </w:rPr>
        <w:t>年部门预算收支及增减变化情况说明</w:t>
      </w:r>
    </w:p>
    <w:p>
      <w:pPr>
        <w:spacing w:line="560" w:lineRule="exact"/>
        <w:ind w:firstLine="643" w:firstLineChars="200"/>
        <w:outlineLvl w:val="0"/>
        <w:rPr>
          <w:rFonts w:ascii="仿宋" w:hAnsi="仿宋" w:eastAsia="仿宋"/>
          <w:b/>
          <w:color w:val="auto"/>
          <w:sz w:val="32"/>
          <w:szCs w:val="32"/>
          <w:highlight w:val="none"/>
        </w:rPr>
      </w:pPr>
      <w:r>
        <w:rPr>
          <w:rFonts w:hint="eastAsia" w:ascii="仿宋" w:hAnsi="仿宋" w:eastAsia="仿宋" w:cs="黑体"/>
          <w:b/>
          <w:color w:val="auto"/>
          <w:sz w:val="32"/>
          <w:szCs w:val="32"/>
          <w:highlight w:val="none"/>
        </w:rPr>
        <w:t>（一）收入预算说明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年下属38家单位总收入安排</w:t>
      </w:r>
      <w:r>
        <w:rPr>
          <w:rFonts w:hint="eastAsia" w:ascii="仿宋" w:hAnsi="仿宋" w:eastAsia="仿宋"/>
          <w:color w:val="auto"/>
          <w:sz w:val="32"/>
          <w:szCs w:val="32"/>
          <w:highlight w:val="none"/>
          <w:lang w:val="en-US" w:eastAsia="zh-CN"/>
        </w:rPr>
        <w:t>689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137.66</w:t>
      </w:r>
      <w:r>
        <w:rPr>
          <w:rFonts w:hint="eastAsia" w:ascii="仿宋" w:hAnsi="仿宋" w:eastAsia="仿宋"/>
          <w:color w:val="auto"/>
          <w:sz w:val="32"/>
          <w:szCs w:val="32"/>
          <w:highlight w:val="none"/>
        </w:rPr>
        <w:t>万元。其中：</w:t>
      </w:r>
      <w:r>
        <w:rPr>
          <w:rFonts w:hint="eastAsia" w:ascii="仿宋" w:hAnsi="仿宋" w:eastAsia="仿宋"/>
          <w:color w:val="auto"/>
          <w:sz w:val="32"/>
          <w:szCs w:val="32"/>
          <w:highlight w:val="none"/>
        </w:rPr>
        <w:t>一般公共预算拨款收入2</w:t>
      </w:r>
      <w:r>
        <w:rPr>
          <w:rFonts w:hint="eastAsia" w:ascii="仿宋" w:hAnsi="仿宋" w:eastAsia="仿宋"/>
          <w:color w:val="auto"/>
          <w:sz w:val="32"/>
          <w:szCs w:val="32"/>
          <w:highlight w:val="none"/>
          <w:lang w:val="en-US" w:eastAsia="zh-CN"/>
        </w:rPr>
        <w:t>09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061.74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rPr>
        <w:t>财政专户资金安排0.00万元，</w:t>
      </w:r>
      <w:r>
        <w:rPr>
          <w:rFonts w:hint="eastAsia" w:ascii="仿宋" w:hAnsi="仿宋" w:eastAsia="仿宋"/>
          <w:color w:val="auto"/>
          <w:sz w:val="32"/>
          <w:szCs w:val="32"/>
          <w:highlight w:val="none"/>
        </w:rPr>
        <w:t>其他资金4</w:t>
      </w:r>
      <w:r>
        <w:rPr>
          <w:rFonts w:hint="eastAsia" w:ascii="仿宋" w:hAnsi="仿宋" w:eastAsia="仿宋"/>
          <w:color w:val="auto"/>
          <w:sz w:val="32"/>
          <w:szCs w:val="32"/>
          <w:highlight w:val="none"/>
          <w:lang w:val="en-US" w:eastAsia="zh-CN"/>
        </w:rPr>
        <w:t>73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万元，市级提前下达专项转移支付项目资金安排7,</w:t>
      </w:r>
      <w:r>
        <w:rPr>
          <w:rFonts w:hint="eastAsia" w:ascii="仿宋" w:hAnsi="仿宋" w:eastAsia="仿宋"/>
          <w:color w:val="auto"/>
          <w:sz w:val="32"/>
          <w:szCs w:val="32"/>
          <w:highlight w:val="none"/>
          <w:lang w:val="en-US" w:eastAsia="zh-CN"/>
        </w:rPr>
        <w:t>070.53</w:t>
      </w:r>
      <w:r>
        <w:rPr>
          <w:rFonts w:hint="eastAsia" w:ascii="仿宋" w:hAnsi="仿宋" w:eastAsia="仿宋"/>
          <w:color w:val="auto"/>
          <w:sz w:val="32"/>
          <w:szCs w:val="32"/>
          <w:highlight w:val="none"/>
        </w:rPr>
        <w:t>万元。</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年收入预算</w:t>
      </w:r>
      <w:r>
        <w:rPr>
          <w:rFonts w:hint="eastAsia" w:ascii="仿宋" w:hAnsi="仿宋" w:eastAsia="仿宋" w:cs="宋体"/>
          <w:color w:val="auto"/>
          <w:kern w:val="0"/>
          <w:sz w:val="32"/>
          <w:szCs w:val="32"/>
          <w:highlight w:val="none"/>
        </w:rPr>
        <w:t>6</w:t>
      </w:r>
      <w:r>
        <w:rPr>
          <w:rFonts w:hint="eastAsia" w:ascii="仿宋" w:hAnsi="仿宋" w:eastAsia="仿宋" w:cs="宋体"/>
          <w:color w:val="auto"/>
          <w:kern w:val="0"/>
          <w:sz w:val="32"/>
          <w:szCs w:val="32"/>
          <w:highlight w:val="none"/>
          <w:lang w:val="en-US" w:eastAsia="zh-CN"/>
        </w:rPr>
        <w:t>95</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902.10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年收入预算比</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6,764.44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，降低</w:t>
      </w:r>
      <w:r>
        <w:rPr>
          <w:rFonts w:hint="eastAsia" w:ascii="仿宋" w:hAnsi="仿宋" w:eastAsia="仿宋"/>
          <w:color w:val="auto"/>
          <w:sz w:val="32"/>
          <w:szCs w:val="32"/>
          <w:highlight w:val="none"/>
          <w:lang w:val="en-US" w:eastAsia="zh-CN"/>
        </w:rPr>
        <w:t>0.97%，</w:t>
      </w:r>
      <w:r>
        <w:rPr>
          <w:rFonts w:hint="eastAsia" w:ascii="仿宋" w:hAnsi="仿宋" w:eastAsia="仿宋"/>
          <w:color w:val="auto"/>
          <w:sz w:val="32"/>
          <w:szCs w:val="32"/>
          <w:highlight w:val="none"/>
          <w:lang w:eastAsia="zh-CN"/>
        </w:rPr>
        <w:t>降低的主要原因是因疫情影响，部分社区卫生服务中心事业收入预计略有降低</w:t>
      </w:r>
      <w:r>
        <w:rPr>
          <w:rFonts w:hint="eastAsia" w:ascii="仿宋" w:hAnsi="仿宋" w:eastAsia="仿宋"/>
          <w:color w:val="auto"/>
          <w:sz w:val="32"/>
          <w:szCs w:val="32"/>
          <w:highlight w:val="none"/>
        </w:rPr>
        <w:t>。我单位不涉及政府性基金收入预算。</w:t>
      </w:r>
      <w:r>
        <w:rPr>
          <w:rFonts w:ascii="仿宋" w:hAnsi="仿宋" w:eastAsia="仿宋"/>
          <w:color w:val="auto"/>
          <w:sz w:val="32"/>
          <w:szCs w:val="32"/>
          <w:highlight w:val="none"/>
        </w:rPr>
        <w:tab/>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cs="黑体"/>
          <w:b/>
          <w:color w:val="auto"/>
          <w:sz w:val="32"/>
          <w:szCs w:val="32"/>
          <w:highlight w:val="none"/>
        </w:rPr>
        <w:t>（二）支出预算说明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年支出预算</w:t>
      </w:r>
      <w:r>
        <w:rPr>
          <w:rFonts w:hint="eastAsia" w:ascii="仿宋" w:hAnsi="仿宋" w:eastAsia="仿宋"/>
          <w:color w:val="auto"/>
          <w:sz w:val="32"/>
          <w:szCs w:val="32"/>
          <w:highlight w:val="none"/>
          <w:lang w:val="en-US" w:eastAsia="zh-CN"/>
        </w:rPr>
        <w:t>689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137.66</w:t>
      </w:r>
      <w:r>
        <w:rPr>
          <w:rFonts w:hint="eastAsia" w:ascii="仿宋" w:hAnsi="仿宋" w:eastAsia="仿宋"/>
          <w:color w:val="auto"/>
          <w:sz w:val="32"/>
          <w:szCs w:val="32"/>
          <w:highlight w:val="none"/>
        </w:rPr>
        <w:t>万元，其中：预算内资金安排2</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132.27</w:t>
      </w:r>
      <w:r>
        <w:rPr>
          <w:rFonts w:hint="eastAsia" w:ascii="仿宋" w:hAnsi="仿宋" w:eastAsia="仿宋"/>
          <w:color w:val="auto"/>
          <w:sz w:val="32"/>
          <w:szCs w:val="32"/>
          <w:highlight w:val="none"/>
        </w:rPr>
        <w:t>万元（包括提前下达专项转移支付项目资金7,</w:t>
      </w:r>
      <w:r>
        <w:rPr>
          <w:rFonts w:hint="eastAsia" w:ascii="仿宋" w:hAnsi="仿宋" w:eastAsia="仿宋"/>
          <w:color w:val="auto"/>
          <w:sz w:val="32"/>
          <w:szCs w:val="32"/>
          <w:highlight w:val="none"/>
          <w:lang w:val="en-US" w:eastAsia="zh-CN"/>
        </w:rPr>
        <w:t>070.53</w:t>
      </w:r>
      <w:r>
        <w:rPr>
          <w:rFonts w:hint="eastAsia" w:ascii="仿宋" w:hAnsi="仿宋" w:eastAsia="仿宋"/>
          <w:color w:val="auto"/>
          <w:sz w:val="32"/>
          <w:szCs w:val="32"/>
          <w:highlight w:val="none"/>
        </w:rPr>
        <w:t>万元），比20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年2</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841.86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290.41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2.51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增长主要原因是增加了卫健委本级昌平区回龙观西城区旧城保护定向安置房配套医院项目，</w:t>
      </w:r>
      <w:r>
        <w:rPr>
          <w:rFonts w:hint="eastAsia" w:ascii="仿宋" w:hAnsi="仿宋" w:eastAsia="仿宋"/>
          <w:color w:val="auto"/>
          <w:sz w:val="32"/>
          <w:szCs w:val="32"/>
          <w:highlight w:val="none"/>
        </w:rPr>
        <w:t>财政专户资金安排0.00万元，与20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年持平，其他资金安排4</w:t>
      </w:r>
      <w:r>
        <w:rPr>
          <w:rFonts w:hint="eastAsia" w:ascii="仿宋" w:hAnsi="仿宋" w:eastAsia="仿宋"/>
          <w:color w:val="auto"/>
          <w:sz w:val="32"/>
          <w:szCs w:val="32"/>
          <w:highlight w:val="none"/>
          <w:lang w:val="en-US" w:eastAsia="zh-CN"/>
        </w:rPr>
        <w:t>73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万元，比20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年预算485,060.24万元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054.85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降低</w:t>
      </w:r>
      <w:r>
        <w:rPr>
          <w:rFonts w:hint="eastAsia" w:ascii="仿宋" w:hAnsi="仿宋" w:eastAsia="仿宋"/>
          <w:color w:val="auto"/>
          <w:sz w:val="32"/>
          <w:szCs w:val="32"/>
          <w:highlight w:val="none"/>
          <w:lang w:val="en-US" w:eastAsia="zh-CN"/>
        </w:rPr>
        <w:t>2.49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eastAsia="zh-CN"/>
        </w:rPr>
        <w:t>主要是因为因疫情影响部分社区卫生服务中心预计事业收入减少</w:t>
      </w:r>
      <w:r>
        <w:rPr>
          <w:rFonts w:hint="eastAsia" w:ascii="仿宋" w:hAnsi="仿宋" w:eastAsia="仿宋"/>
          <w:color w:val="auto"/>
          <w:sz w:val="32"/>
          <w:szCs w:val="32"/>
          <w:highlight w:val="none"/>
        </w:rPr>
        <w:t>。</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三、主要支出情况</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年支出预算</w:t>
      </w:r>
      <w:r>
        <w:rPr>
          <w:rFonts w:hint="eastAsia" w:ascii="仿宋" w:hAnsi="仿宋" w:eastAsia="仿宋"/>
          <w:color w:val="auto"/>
          <w:sz w:val="32"/>
          <w:szCs w:val="32"/>
          <w:highlight w:val="none"/>
          <w:lang w:val="en-US" w:eastAsia="zh-CN"/>
        </w:rPr>
        <w:t>689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137.66</w:t>
      </w:r>
      <w:r>
        <w:rPr>
          <w:rFonts w:hint="eastAsia" w:ascii="仿宋" w:hAnsi="仿宋" w:eastAsia="仿宋"/>
          <w:color w:val="auto"/>
          <w:sz w:val="32"/>
          <w:szCs w:val="32"/>
          <w:highlight w:val="none"/>
        </w:rPr>
        <w:t>万元，按用途划分：</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1.基本支出预算</w:t>
      </w:r>
      <w:r>
        <w:rPr>
          <w:rFonts w:hint="eastAsia" w:ascii="仿宋" w:hAnsi="仿宋" w:eastAsia="仿宋"/>
          <w:color w:val="auto"/>
          <w:sz w:val="32"/>
          <w:szCs w:val="32"/>
          <w:highlight w:val="none"/>
          <w:lang w:val="en-US" w:eastAsia="zh-CN"/>
        </w:rPr>
        <w:t>370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071.40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w:t>
      </w:r>
      <w:r>
        <w:rPr>
          <w:rFonts w:hint="eastAsia" w:ascii="仿宋" w:hAnsi="仿宋" w:eastAsia="仿宋"/>
          <w:color w:val="auto"/>
          <w:sz w:val="32"/>
          <w:szCs w:val="32"/>
          <w:highlight w:val="none"/>
        </w:rPr>
        <w:t>财政拨款基本支出</w:t>
      </w:r>
      <w:r>
        <w:rPr>
          <w:rFonts w:ascii="仿宋" w:hAnsi="仿宋" w:eastAsia="仿宋"/>
          <w:color w:val="auto"/>
          <w:sz w:val="32"/>
          <w:szCs w:val="32"/>
          <w:highlight w:val="none"/>
        </w:rPr>
        <w:t>1</w:t>
      </w: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680.01</w:t>
      </w:r>
      <w:r>
        <w:rPr>
          <w:rFonts w:hint="eastAsia" w:ascii="仿宋" w:hAnsi="仿宋" w:eastAsia="仿宋"/>
          <w:color w:val="auto"/>
          <w:sz w:val="32"/>
          <w:szCs w:val="32"/>
          <w:highlight w:val="none"/>
        </w:rPr>
        <w:t>万元。主要包括在职、离退休人员支出、个人和家庭补助支出、公用支出。</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2.项目支出预算</w:t>
      </w:r>
      <w:r>
        <w:rPr>
          <w:rFonts w:hint="eastAsia" w:ascii="仿宋" w:hAnsi="仿宋" w:eastAsia="仿宋"/>
          <w:color w:val="auto"/>
          <w:sz w:val="32"/>
          <w:szCs w:val="32"/>
          <w:highlight w:val="none"/>
          <w:lang w:val="en-US" w:eastAsia="zh-CN"/>
        </w:rPr>
        <w:t>319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066.26</w:t>
      </w:r>
      <w:r>
        <w:rPr>
          <w:rFonts w:hint="eastAsia" w:ascii="仿宋" w:hAnsi="仿宋" w:eastAsia="仿宋"/>
          <w:color w:val="auto"/>
          <w:sz w:val="32"/>
          <w:szCs w:val="32"/>
          <w:highlight w:val="none"/>
        </w:rPr>
        <w:t>万元，其中财政拨款项目支出</w:t>
      </w:r>
      <w:r>
        <w:rPr>
          <w:rFonts w:hint="eastAsia" w:ascii="仿宋" w:hAnsi="仿宋" w:eastAsia="仿宋"/>
          <w:color w:val="auto"/>
          <w:sz w:val="32"/>
          <w:szCs w:val="32"/>
          <w:highlight w:val="none"/>
          <w:lang w:val="en-US" w:eastAsia="zh-CN"/>
        </w:rPr>
        <w:t>99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452.27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（金额与</w:t>
      </w:r>
      <w:r>
        <w:rPr>
          <w:rFonts w:hint="eastAsia" w:ascii="仿宋" w:hAnsi="仿宋" w:eastAsia="仿宋"/>
          <w:color w:val="auto"/>
          <w:sz w:val="32"/>
          <w:szCs w:val="32"/>
          <w:highlight w:val="none"/>
          <w:lang w:val="en-US" w:eastAsia="zh-CN"/>
        </w:rPr>
        <w:t>04</w:t>
      </w:r>
      <w:r>
        <w:rPr>
          <w:rFonts w:hint="eastAsia" w:ascii="仿宋" w:hAnsi="仿宋" w:eastAsia="仿宋"/>
          <w:color w:val="auto"/>
          <w:sz w:val="32"/>
          <w:szCs w:val="32"/>
          <w:highlight w:val="none"/>
          <w:lang w:eastAsia="zh-CN"/>
        </w:rPr>
        <w:t>附表不一致）</w:t>
      </w:r>
      <w:r>
        <w:rPr>
          <w:rFonts w:hint="eastAsia" w:ascii="仿宋" w:hAnsi="仿宋" w:eastAsia="仿宋"/>
          <w:color w:val="auto"/>
          <w:sz w:val="32"/>
          <w:szCs w:val="32"/>
          <w:highlight w:val="none"/>
        </w:rPr>
        <w:t>。</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主要项目是</w:t>
      </w:r>
      <w:r>
        <w:rPr>
          <w:rFonts w:hint="eastAsia" w:ascii="仿宋" w:hAnsi="仿宋" w:eastAsia="仿宋"/>
          <w:color w:val="auto"/>
          <w:sz w:val="32"/>
          <w:szCs w:val="32"/>
          <w:highlight w:val="none"/>
        </w:rPr>
        <w:t>①医院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社区及</w:t>
      </w:r>
      <w:r>
        <w:rPr>
          <w:rFonts w:hint="eastAsia" w:ascii="仿宋" w:hAnsi="仿宋" w:eastAsia="仿宋"/>
          <w:color w:val="auto"/>
          <w:sz w:val="32"/>
          <w:szCs w:val="32"/>
          <w:highlight w:val="none"/>
          <w:lang w:eastAsia="zh-CN"/>
        </w:rPr>
        <w:t>疾控中心</w:t>
      </w:r>
      <w:r>
        <w:rPr>
          <w:rFonts w:hint="eastAsia" w:ascii="仿宋" w:hAnsi="仿宋" w:eastAsia="仿宋"/>
          <w:color w:val="auto"/>
          <w:sz w:val="32"/>
          <w:szCs w:val="32"/>
          <w:highlight w:val="none"/>
        </w:rPr>
        <w:t>药品卫材款②</w:t>
      </w:r>
      <w:r>
        <w:rPr>
          <w:rFonts w:hint="eastAsia" w:ascii="仿宋" w:hAnsi="仿宋" w:eastAsia="仿宋"/>
          <w:color w:val="auto"/>
          <w:sz w:val="32"/>
          <w:szCs w:val="32"/>
          <w:highlight w:val="none"/>
          <w:lang w:eastAsia="zh-CN"/>
        </w:rPr>
        <w:t>昌平区回龙观西城区旧城保护定向安置房配套医院项目</w:t>
      </w:r>
      <w:r>
        <w:rPr>
          <w:rFonts w:hint="eastAsia" w:ascii="仿宋" w:hAnsi="仿宋" w:eastAsia="仿宋"/>
          <w:color w:val="auto"/>
          <w:sz w:val="32"/>
          <w:szCs w:val="32"/>
          <w:highlight w:val="none"/>
        </w:rPr>
        <w:t>③中医绩效考核及特色发展和优势专科建设补助④</w:t>
      </w:r>
      <w:r>
        <w:rPr>
          <w:rFonts w:hint="eastAsia" w:ascii="仿宋" w:hAnsi="仿宋" w:eastAsia="仿宋"/>
          <w:color w:val="auto"/>
          <w:sz w:val="32"/>
          <w:szCs w:val="32"/>
          <w:highlight w:val="none"/>
          <w:lang w:eastAsia="zh-CN"/>
        </w:rPr>
        <w:t>社区后勤社会化服务项目物业费</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w:instrText>
      </w:r>
      <w:r>
        <w:rPr>
          <w:rFonts w:hint="eastAsia" w:ascii="仿宋" w:hAnsi="仿宋" w:eastAsia="仿宋"/>
          <w:color w:val="auto"/>
          <w:sz w:val="32"/>
          <w:szCs w:val="32"/>
          <w:highlight w:val="none"/>
        </w:rPr>
        <w:instrText xml:space="preserve">= 5 \* GB3</w:instrText>
      </w:r>
      <w:r>
        <w:rPr>
          <w:rFonts w:ascii="仿宋" w:hAnsi="仿宋" w:eastAsia="仿宋"/>
          <w:color w:val="auto"/>
          <w:sz w:val="32"/>
          <w:szCs w:val="32"/>
          <w:highlight w:val="none"/>
        </w:rPr>
        <w:instrText xml:space="preserve"> </w:instrText>
      </w:r>
      <w:r>
        <w:rPr>
          <w:rFonts w:ascii="仿宋" w:hAnsi="仿宋" w:eastAsia="仿宋"/>
          <w:color w:val="auto"/>
          <w:sz w:val="32"/>
          <w:szCs w:val="32"/>
          <w:highlight w:val="none"/>
        </w:rPr>
        <w:fldChar w:fldCharType="separate"/>
      </w:r>
      <w:r>
        <w:rPr>
          <w:rFonts w:hint="eastAsia" w:ascii="仿宋" w:hAnsi="仿宋" w:eastAsia="仿宋"/>
          <w:color w:val="auto"/>
          <w:sz w:val="32"/>
          <w:szCs w:val="32"/>
          <w:highlight w:val="none"/>
        </w:rPr>
        <w:t>⑤</w: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医疗设备购置</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w:instrText>
      </w:r>
      <w:r>
        <w:rPr>
          <w:rFonts w:hint="eastAsia" w:ascii="仿宋" w:hAnsi="仿宋" w:eastAsia="仿宋"/>
          <w:color w:val="auto"/>
          <w:sz w:val="32"/>
          <w:szCs w:val="32"/>
          <w:highlight w:val="none"/>
        </w:rPr>
        <w:instrText xml:space="preserve">= 6 \* GB3</w:instrText>
      </w:r>
      <w:r>
        <w:rPr>
          <w:rFonts w:ascii="仿宋" w:hAnsi="仿宋" w:eastAsia="仿宋"/>
          <w:color w:val="auto"/>
          <w:sz w:val="32"/>
          <w:szCs w:val="32"/>
          <w:highlight w:val="none"/>
        </w:rPr>
        <w:instrText xml:space="preserve"> </w:instrText>
      </w:r>
      <w:r>
        <w:rPr>
          <w:rFonts w:ascii="仿宋" w:hAnsi="仿宋" w:eastAsia="仿宋"/>
          <w:color w:val="auto"/>
          <w:sz w:val="32"/>
          <w:szCs w:val="32"/>
          <w:highlight w:val="none"/>
        </w:rPr>
        <w:fldChar w:fldCharType="separate"/>
      </w:r>
      <w:r>
        <w:rPr>
          <w:rFonts w:hint="eastAsia" w:ascii="仿宋" w:hAnsi="仿宋" w:eastAsia="仿宋"/>
          <w:color w:val="auto"/>
          <w:sz w:val="32"/>
          <w:szCs w:val="32"/>
          <w:highlight w:val="none"/>
        </w:rPr>
        <w:t>⑥</w: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lang w:eastAsia="zh-CN"/>
        </w:rPr>
        <w:t>护国寺中医院门诊部装修改造工程及航空胡同</w:t>
      </w:r>
      <w:r>
        <w:rPr>
          <w:rFonts w:hint="eastAsia" w:ascii="仿宋" w:hAnsi="仿宋" w:eastAsia="仿宋"/>
          <w:color w:val="auto"/>
          <w:sz w:val="32"/>
          <w:szCs w:val="32"/>
          <w:highlight w:val="none"/>
          <w:lang w:val="en-US" w:eastAsia="zh-CN"/>
        </w:rPr>
        <w:t>42号房屋租金</w:t>
      </w:r>
      <w:r>
        <w:rPr>
          <w:rFonts w:hint="eastAsia" w:ascii="仿宋" w:hAnsi="仿宋" w:eastAsia="仿宋"/>
          <w:color w:val="auto"/>
          <w:sz w:val="32"/>
          <w:szCs w:val="32"/>
          <w:highlight w:val="none"/>
        </w:rPr>
        <w:t>⑦</w:t>
      </w:r>
      <w:r>
        <w:rPr>
          <w:rFonts w:hint="eastAsia" w:ascii="仿宋" w:hAnsi="仿宋" w:eastAsia="仿宋" w:cs="仿宋"/>
          <w:color w:val="auto"/>
          <w:sz w:val="32"/>
          <w:szCs w:val="32"/>
          <w:highlight w:val="none"/>
          <w:lang w:val="en-US" w:eastAsia="zh-CN"/>
        </w:rPr>
        <w:t>白云观6号楼装修改造项目及</w:t>
      </w:r>
      <w:r>
        <w:rPr>
          <w:rFonts w:hint="eastAsia" w:ascii="仿宋" w:hAnsi="仿宋" w:eastAsia="仿宋" w:cs="仿宋"/>
          <w:color w:val="auto"/>
          <w:sz w:val="32"/>
          <w:szCs w:val="32"/>
          <w:highlight w:val="none"/>
          <w:lang w:eastAsia="zh-CN"/>
        </w:rPr>
        <w:t>发热与急救中心改造项目</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w:instrText>
      </w:r>
      <w:r>
        <w:rPr>
          <w:rFonts w:hint="eastAsia" w:ascii="仿宋" w:hAnsi="仿宋" w:eastAsia="仿宋"/>
          <w:color w:val="auto"/>
          <w:sz w:val="32"/>
          <w:szCs w:val="32"/>
          <w:highlight w:val="none"/>
        </w:rPr>
        <w:instrText xml:space="preserve">= 8 \* GB3</w:instrText>
      </w:r>
      <w:r>
        <w:rPr>
          <w:rFonts w:ascii="仿宋" w:hAnsi="仿宋" w:eastAsia="仿宋"/>
          <w:color w:val="auto"/>
          <w:sz w:val="32"/>
          <w:szCs w:val="32"/>
          <w:highlight w:val="none"/>
        </w:rPr>
        <w:instrText xml:space="preserve"> </w:instrText>
      </w:r>
      <w:r>
        <w:rPr>
          <w:rFonts w:ascii="仿宋" w:hAnsi="仿宋" w:eastAsia="仿宋"/>
          <w:color w:val="auto"/>
          <w:sz w:val="32"/>
          <w:szCs w:val="32"/>
          <w:highlight w:val="none"/>
        </w:rPr>
        <w:fldChar w:fldCharType="separate"/>
      </w:r>
      <w:r>
        <w:rPr>
          <w:rFonts w:hint="eastAsia" w:ascii="仿宋" w:hAnsi="仿宋" w:eastAsia="仿宋"/>
          <w:color w:val="auto"/>
          <w:sz w:val="32"/>
          <w:szCs w:val="32"/>
          <w:highlight w:val="none"/>
        </w:rPr>
        <w:t>⑧</w: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社区工作者经费</w:t>
      </w:r>
      <w:r>
        <w:rPr>
          <w:rFonts w:hint="eastAsia" w:ascii="仿宋" w:hAnsi="仿宋" w:eastAsia="仿宋" w:cs="仿宋"/>
          <w:color w:val="auto"/>
          <w:sz w:val="32"/>
          <w:szCs w:val="32"/>
          <w:highlight w:val="none"/>
        </w:rPr>
        <w:t>⑨</w:t>
      </w:r>
      <w:r>
        <w:rPr>
          <w:rFonts w:hint="eastAsia" w:ascii="仿宋" w:hAnsi="仿宋" w:eastAsia="仿宋"/>
          <w:color w:val="auto"/>
          <w:sz w:val="32"/>
          <w:szCs w:val="32"/>
          <w:highlight w:val="none"/>
        </w:rPr>
        <w:t>社区卫生服务中心（站）房租</w:t>
      </w:r>
      <w:r>
        <w:rPr>
          <w:rFonts w:hint="eastAsia" w:ascii="华文中宋" w:hAnsi="华文中宋" w:eastAsia="华文中宋" w:cs="华文中宋"/>
          <w:color w:val="auto"/>
          <w:sz w:val="32"/>
          <w:szCs w:val="32"/>
          <w:highlight w:val="none"/>
        </w:rPr>
        <w:t>⑩</w:t>
      </w:r>
      <w:r>
        <w:rPr>
          <w:rFonts w:hint="eastAsia" w:ascii="仿宋" w:hAnsi="仿宋" w:eastAsia="仿宋"/>
          <w:color w:val="auto"/>
          <w:sz w:val="32"/>
          <w:szCs w:val="32"/>
          <w:highlight w:val="none"/>
        </w:rPr>
        <w:t>提前下达转移支付资金。</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四、部门“三公”经费财政拨款预算说明</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（一）“三公”经费的单位范围</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北京市西城</w:t>
      </w:r>
      <w:bookmarkStart w:id="0" w:name="_GoBack"/>
      <w:bookmarkEnd w:id="0"/>
      <w:r>
        <w:rPr>
          <w:rFonts w:hint="eastAsia" w:ascii="仿宋" w:hAnsi="仿宋" w:eastAsia="仿宋"/>
          <w:color w:val="auto"/>
          <w:sz w:val="32"/>
          <w:szCs w:val="32"/>
          <w:highlight w:val="none"/>
        </w:rPr>
        <w:t>区卫生健康委员会部门预算中因公出国（境）费、公务接待费、公务用车购置及运行维护费的支出单位包括38个所属单位，具体单位名称见上表。</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ascii="仿宋" w:hAnsi="仿宋" w:eastAsia="仿宋"/>
          <w:b/>
          <w:color w:val="auto"/>
          <w:sz w:val="32"/>
          <w:szCs w:val="32"/>
          <w:highlight w:val="none"/>
        </w:rPr>
        <w:t>“</w:t>
      </w:r>
      <w:r>
        <w:rPr>
          <w:rFonts w:hint="eastAsia" w:ascii="仿宋" w:hAnsi="仿宋" w:eastAsia="仿宋"/>
          <w:b/>
          <w:color w:val="auto"/>
          <w:sz w:val="32"/>
          <w:szCs w:val="32"/>
          <w:highlight w:val="none"/>
        </w:rPr>
        <w:t>三公</w:t>
      </w:r>
      <w:r>
        <w:rPr>
          <w:rFonts w:ascii="仿宋" w:hAnsi="仿宋" w:eastAsia="仿宋"/>
          <w:b/>
          <w:color w:val="auto"/>
          <w:sz w:val="32"/>
          <w:szCs w:val="32"/>
          <w:highlight w:val="none"/>
        </w:rPr>
        <w:t>”</w:t>
      </w:r>
      <w:r>
        <w:rPr>
          <w:rFonts w:hint="eastAsia" w:ascii="仿宋" w:hAnsi="仿宋" w:eastAsia="仿宋"/>
          <w:b/>
          <w:color w:val="auto"/>
          <w:sz w:val="32"/>
          <w:szCs w:val="32"/>
          <w:highlight w:val="none"/>
        </w:rPr>
        <w:t>经费预算财政</w:t>
      </w:r>
      <w:r>
        <w:rPr>
          <w:rFonts w:ascii="仿宋" w:hAnsi="仿宋" w:eastAsia="仿宋"/>
          <w:b/>
          <w:color w:val="auto"/>
          <w:sz w:val="32"/>
          <w:szCs w:val="32"/>
          <w:highlight w:val="none"/>
        </w:rPr>
        <w:t>拨款情况</w:t>
      </w:r>
      <w:r>
        <w:rPr>
          <w:rFonts w:hint="eastAsia" w:ascii="仿宋" w:hAnsi="仿宋" w:eastAsia="仿宋"/>
          <w:b/>
          <w:color w:val="auto"/>
          <w:sz w:val="32"/>
          <w:szCs w:val="32"/>
          <w:highlight w:val="none"/>
        </w:rPr>
        <w:t>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年部门预算“三公”经费财政拨款预算安排</w:t>
      </w:r>
      <w:r>
        <w:rPr>
          <w:rFonts w:hint="eastAsia" w:ascii="仿宋" w:hAnsi="仿宋" w:eastAsia="仿宋"/>
          <w:color w:val="auto"/>
          <w:sz w:val="32"/>
          <w:szCs w:val="32"/>
          <w:highlight w:val="none"/>
          <w:lang w:val="en-US" w:eastAsia="zh-CN"/>
        </w:rPr>
        <w:t>139.14</w:t>
      </w:r>
      <w:r>
        <w:rPr>
          <w:rFonts w:hint="eastAsia" w:ascii="仿宋" w:hAnsi="仿宋" w:eastAsia="仿宋"/>
          <w:color w:val="auto"/>
          <w:sz w:val="32"/>
          <w:szCs w:val="32"/>
          <w:highlight w:val="none"/>
        </w:rPr>
        <w:t>万元，其中：</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1.因公出国（境）费</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年财政拨款预算安排0.00万元。20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年财政拨款预算安排0.00万元，与20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年持平</w:t>
      </w:r>
      <w:r>
        <w:rPr>
          <w:rFonts w:hint="eastAsia" w:ascii="仿宋" w:hAnsi="仿宋" w:eastAsia="仿宋"/>
          <w:color w:val="auto"/>
          <w:sz w:val="32"/>
          <w:szCs w:val="32"/>
          <w:highlight w:val="none"/>
        </w:rPr>
        <w:t>，</w:t>
      </w:r>
      <w:r>
        <w:rPr>
          <w:rFonts w:hint="eastAsia" w:ascii="仿宋" w:hAnsi="仿宋" w:eastAsia="仿宋" w:cs="宋体"/>
          <w:color w:val="auto"/>
          <w:sz w:val="32"/>
          <w:szCs w:val="32"/>
          <w:highlight w:val="none"/>
          <w:lang w:eastAsia="zh-CN"/>
        </w:rPr>
        <w:t>区级</w:t>
      </w:r>
      <w:r>
        <w:rPr>
          <w:rFonts w:hint="eastAsia" w:ascii="仿宋" w:hAnsi="仿宋" w:eastAsia="仿宋" w:cs="宋体"/>
          <w:color w:val="auto"/>
          <w:sz w:val="32"/>
          <w:szCs w:val="32"/>
          <w:highlight w:val="none"/>
        </w:rPr>
        <w:t>财政</w:t>
      </w:r>
      <w:r>
        <w:rPr>
          <w:rFonts w:hint="eastAsia" w:ascii="仿宋" w:hAnsi="仿宋" w:eastAsia="仿宋" w:cs="宋体"/>
          <w:color w:val="auto"/>
          <w:sz w:val="32"/>
          <w:szCs w:val="32"/>
          <w:highlight w:val="none"/>
          <w:lang w:eastAsia="zh-CN"/>
        </w:rPr>
        <w:t>不</w:t>
      </w:r>
      <w:r>
        <w:rPr>
          <w:rFonts w:hint="eastAsia" w:ascii="仿宋" w:hAnsi="仿宋" w:eastAsia="仿宋" w:cs="宋体"/>
          <w:color w:val="auto"/>
          <w:sz w:val="32"/>
          <w:szCs w:val="32"/>
          <w:highlight w:val="none"/>
        </w:rPr>
        <w:t>安排</w:t>
      </w:r>
      <w:r>
        <w:rPr>
          <w:rFonts w:hint="eastAsia" w:ascii="仿宋" w:hAnsi="仿宋" w:eastAsia="仿宋" w:cs="宋体"/>
          <w:color w:val="auto"/>
          <w:sz w:val="32"/>
          <w:szCs w:val="32"/>
          <w:highlight w:val="none"/>
          <w:lang w:eastAsia="zh-CN"/>
        </w:rPr>
        <w:t>相关</w:t>
      </w:r>
      <w:r>
        <w:rPr>
          <w:rFonts w:hint="eastAsia" w:ascii="仿宋" w:hAnsi="仿宋" w:eastAsia="仿宋" w:cs="宋体"/>
          <w:color w:val="auto"/>
          <w:sz w:val="32"/>
          <w:szCs w:val="32"/>
          <w:highlight w:val="none"/>
        </w:rPr>
        <w:t>预算</w:t>
      </w:r>
      <w:r>
        <w:rPr>
          <w:rFonts w:hint="eastAsia" w:ascii="仿宋" w:hAnsi="仿宋" w:eastAsia="仿宋" w:cs="宋体"/>
          <w:color w:val="auto"/>
          <w:sz w:val="32"/>
          <w:szCs w:val="32"/>
          <w:highlight w:val="none"/>
        </w:rPr>
        <w:t>。</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2.公务接待费</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年财政拨款预算安排1</w:t>
      </w:r>
      <w:r>
        <w:rPr>
          <w:rFonts w:hint="eastAsia" w:ascii="仿宋" w:hAnsi="仿宋" w:eastAsia="仿宋"/>
          <w:color w:val="auto"/>
          <w:sz w:val="32"/>
          <w:szCs w:val="32"/>
          <w:highlight w:val="none"/>
          <w:lang w:val="en-US" w:eastAsia="zh-CN"/>
        </w:rPr>
        <w:t>2.69</w:t>
      </w:r>
      <w:r>
        <w:rPr>
          <w:rFonts w:hint="eastAsia" w:ascii="仿宋" w:hAnsi="仿宋" w:eastAsia="仿宋"/>
          <w:color w:val="auto"/>
          <w:sz w:val="32"/>
          <w:szCs w:val="32"/>
          <w:highlight w:val="none"/>
        </w:rPr>
        <w:t>万元。20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年财政拨款预算安排1</w:t>
      </w:r>
      <w:r>
        <w:rPr>
          <w:rFonts w:hint="eastAsia" w:ascii="仿宋" w:hAnsi="仿宋" w:eastAsia="仿宋"/>
          <w:color w:val="auto"/>
          <w:sz w:val="32"/>
          <w:szCs w:val="32"/>
          <w:highlight w:val="none"/>
          <w:lang w:val="en-US" w:eastAsia="zh-CN"/>
        </w:rPr>
        <w:t>2.81</w:t>
      </w:r>
      <w:r>
        <w:rPr>
          <w:rFonts w:hint="eastAsia" w:ascii="仿宋" w:hAnsi="仿宋" w:eastAsia="仿宋"/>
          <w:color w:val="auto"/>
          <w:sz w:val="32"/>
          <w:szCs w:val="32"/>
          <w:highlight w:val="none"/>
        </w:rPr>
        <w:t>万元，比20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0.12</w:t>
      </w:r>
      <w:r>
        <w:rPr>
          <w:rFonts w:hint="eastAsia" w:ascii="仿宋" w:hAnsi="仿宋" w:eastAsia="仿宋"/>
          <w:color w:val="auto"/>
          <w:sz w:val="32"/>
          <w:szCs w:val="32"/>
          <w:highlight w:val="none"/>
        </w:rPr>
        <w:t>万元，原因是按照</w:t>
      </w:r>
      <w:r>
        <w:rPr>
          <w:rFonts w:hint="eastAsia" w:ascii="仿宋" w:hAnsi="仿宋" w:eastAsia="仿宋"/>
          <w:color w:val="auto"/>
          <w:sz w:val="32"/>
          <w:szCs w:val="32"/>
          <w:highlight w:val="none"/>
          <w:lang w:eastAsia="zh-CN"/>
        </w:rPr>
        <w:t>要求</w:t>
      </w:r>
      <w:r>
        <w:rPr>
          <w:rFonts w:hint="eastAsia" w:ascii="仿宋" w:hAnsi="仿宋" w:eastAsia="仿宋"/>
          <w:color w:val="auto"/>
          <w:sz w:val="32"/>
          <w:szCs w:val="32"/>
          <w:highlight w:val="none"/>
        </w:rPr>
        <w:t xml:space="preserve">压减一般性支出和非必需、非刚性支出。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3.公务用车购置及运行维护费</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年公务用车数量为31辆，财政拨款预算安排</w:t>
      </w:r>
      <w:r>
        <w:rPr>
          <w:rFonts w:hint="eastAsia" w:ascii="仿宋" w:hAnsi="仿宋" w:eastAsia="仿宋"/>
          <w:color w:val="auto"/>
          <w:sz w:val="32"/>
          <w:szCs w:val="32"/>
          <w:highlight w:val="none"/>
          <w:lang w:val="en-US" w:eastAsia="zh-CN"/>
        </w:rPr>
        <w:t>126.45</w:t>
      </w:r>
      <w:r>
        <w:rPr>
          <w:rFonts w:hint="eastAsia" w:ascii="仿宋" w:hAnsi="仿宋" w:eastAsia="仿宋"/>
          <w:color w:val="auto"/>
          <w:sz w:val="32"/>
          <w:szCs w:val="32"/>
          <w:highlight w:val="none"/>
        </w:rPr>
        <w:t>万元，其中公务用车购置费</w:t>
      </w:r>
      <w:r>
        <w:rPr>
          <w:rFonts w:hint="eastAsia" w:ascii="仿宋" w:hAnsi="仿宋" w:eastAsia="仿宋"/>
          <w:color w:val="auto"/>
          <w:sz w:val="32"/>
          <w:szCs w:val="32"/>
          <w:highlight w:val="none"/>
          <w:lang w:val="en-US" w:eastAsia="zh-CN"/>
        </w:rPr>
        <w:t>65</w:t>
      </w:r>
      <w:r>
        <w:rPr>
          <w:rFonts w:hint="eastAsia" w:ascii="仿宋" w:hAnsi="仿宋" w:eastAsia="仿宋"/>
          <w:color w:val="auto"/>
          <w:sz w:val="32"/>
          <w:szCs w:val="32"/>
          <w:highlight w:val="none"/>
        </w:rPr>
        <w:t>.00万元，公务用车运行维护费</w:t>
      </w:r>
      <w:r>
        <w:rPr>
          <w:rFonts w:hint="eastAsia" w:ascii="仿宋" w:hAnsi="仿宋" w:eastAsia="仿宋"/>
          <w:color w:val="auto"/>
          <w:sz w:val="32"/>
          <w:szCs w:val="32"/>
          <w:highlight w:val="none"/>
          <w:lang w:val="en-US" w:eastAsia="zh-CN"/>
        </w:rPr>
        <w:t>61.45</w:t>
      </w:r>
      <w:r>
        <w:rPr>
          <w:rFonts w:hint="eastAsia" w:ascii="仿宋" w:hAnsi="仿宋" w:eastAsia="仿宋"/>
          <w:color w:val="auto"/>
          <w:sz w:val="32"/>
          <w:szCs w:val="32"/>
          <w:highlight w:val="none"/>
        </w:rPr>
        <w:t>万元。20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年财政拨款预算安排</w:t>
      </w:r>
      <w:r>
        <w:rPr>
          <w:rFonts w:hint="eastAsia" w:ascii="仿宋" w:hAnsi="仿宋" w:eastAsia="仿宋"/>
          <w:color w:val="auto"/>
          <w:sz w:val="32"/>
          <w:szCs w:val="32"/>
          <w:highlight w:val="none"/>
          <w:lang w:val="en-US" w:eastAsia="zh-CN"/>
        </w:rPr>
        <w:t>70.55</w:t>
      </w:r>
      <w:r>
        <w:rPr>
          <w:rFonts w:hint="eastAsia" w:ascii="仿宋" w:hAnsi="仿宋" w:eastAsia="仿宋"/>
          <w:color w:val="auto"/>
          <w:sz w:val="32"/>
          <w:szCs w:val="32"/>
          <w:highlight w:val="none"/>
        </w:rPr>
        <w:t>万元，比20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55.90</w:t>
      </w:r>
      <w:r>
        <w:rPr>
          <w:rFonts w:hint="eastAsia" w:ascii="仿宋" w:hAnsi="仿宋" w:eastAsia="仿宋"/>
          <w:color w:val="auto"/>
          <w:sz w:val="32"/>
          <w:szCs w:val="32"/>
          <w:highlight w:val="none"/>
        </w:rPr>
        <w:t>万元。原因为</w:t>
      </w:r>
      <w:r>
        <w:rPr>
          <w:rFonts w:hint="eastAsia" w:ascii="仿宋" w:hAnsi="仿宋" w:eastAsia="仿宋"/>
          <w:color w:val="auto"/>
          <w:sz w:val="32"/>
          <w:szCs w:val="32"/>
          <w:highlight w:val="none"/>
          <w:lang w:eastAsia="zh-CN"/>
        </w:rPr>
        <w:t>新增</w:t>
      </w:r>
      <w:r>
        <w:rPr>
          <w:rFonts w:hint="eastAsia" w:ascii="仿宋" w:hAnsi="仿宋" w:eastAsia="仿宋"/>
          <w:color w:val="auto"/>
          <w:sz w:val="32"/>
          <w:szCs w:val="32"/>
          <w:highlight w:val="none"/>
          <w:lang w:eastAsia="zh-CN"/>
        </w:rPr>
        <w:t>回民医院购置救护车</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辆，</w:t>
      </w:r>
      <w:r>
        <w:rPr>
          <w:rFonts w:hint="eastAsia" w:ascii="仿宋" w:hAnsi="仿宋" w:eastAsia="仿宋"/>
          <w:color w:val="auto"/>
          <w:sz w:val="32"/>
          <w:szCs w:val="32"/>
          <w:highlight w:val="none"/>
          <w:lang w:eastAsia="zh-CN"/>
        </w:rPr>
        <w:t>金额为</w:t>
      </w:r>
      <w:r>
        <w:rPr>
          <w:rFonts w:hint="eastAsia" w:ascii="仿宋" w:hAnsi="仿宋" w:eastAsia="仿宋"/>
          <w:color w:val="auto"/>
          <w:sz w:val="32"/>
          <w:szCs w:val="32"/>
          <w:highlight w:val="none"/>
          <w:lang w:val="en-US" w:eastAsia="zh-CN"/>
        </w:rPr>
        <w:t>65万元</w:t>
      </w:r>
      <w:r>
        <w:rPr>
          <w:rFonts w:hint="eastAsia" w:ascii="仿宋" w:hAnsi="仿宋" w:eastAsia="仿宋"/>
          <w:color w:val="auto"/>
          <w:sz w:val="32"/>
          <w:szCs w:val="32"/>
          <w:highlight w:val="none"/>
        </w:rPr>
        <w:t>。</w:t>
      </w:r>
    </w:p>
    <w:p>
      <w:pPr>
        <w:spacing w:line="560" w:lineRule="exact"/>
        <w:ind w:firstLine="800" w:firstLineChars="250"/>
        <w:rPr>
          <w:rFonts w:ascii="黑体" w:hAnsi="黑体" w:eastAsia="黑体"/>
          <w:color w:val="auto"/>
          <w:sz w:val="32"/>
          <w:szCs w:val="32"/>
          <w:highlight w:val="none"/>
        </w:rPr>
      </w:pPr>
      <w:r>
        <w:rPr>
          <w:rFonts w:hint="eastAsia" w:ascii="黑体" w:hAnsi="黑体" w:eastAsia="黑体"/>
          <w:color w:val="auto"/>
          <w:sz w:val="32"/>
          <w:szCs w:val="32"/>
          <w:highlight w:val="none"/>
        </w:rPr>
        <w:t>五、其他情况说明</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（一）机</w:t>
      </w:r>
      <w:r>
        <w:rPr>
          <w:rFonts w:hint="eastAsia" w:ascii="仿宋" w:hAnsi="仿宋" w:eastAsia="仿宋"/>
          <w:b/>
          <w:color w:val="auto"/>
          <w:sz w:val="32"/>
          <w:szCs w:val="32"/>
          <w:highlight w:val="none"/>
          <w:lang w:eastAsia="zh-CN"/>
        </w:rPr>
        <w:t>关</w:t>
      </w:r>
      <w:r>
        <w:rPr>
          <w:rFonts w:hint="eastAsia" w:ascii="仿宋" w:hAnsi="仿宋" w:eastAsia="仿宋"/>
          <w:b/>
          <w:color w:val="auto"/>
          <w:sz w:val="32"/>
          <w:szCs w:val="32"/>
          <w:highlight w:val="none"/>
        </w:rPr>
        <w:t>运行经费说明</w:t>
      </w:r>
      <w:r>
        <w:rPr>
          <w:rFonts w:ascii="仿宋" w:hAnsi="仿宋" w:eastAsia="仿宋"/>
          <w:b/>
          <w:color w:val="auto"/>
          <w:sz w:val="32"/>
          <w:szCs w:val="32"/>
          <w:highlight w:val="none"/>
        </w:rPr>
        <w:t xml:space="preserve"> </w:t>
      </w:r>
    </w:p>
    <w:p>
      <w:pPr>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年本部门（含下属单位）履行一般行政事业管理职能、维持机关运行，用于一般公共预算安排的行政运行经费，合计</w:t>
      </w:r>
      <w:r>
        <w:rPr>
          <w:rFonts w:hint="eastAsia" w:ascii="仿宋" w:hAnsi="仿宋" w:eastAsia="仿宋"/>
          <w:color w:val="auto"/>
          <w:sz w:val="32"/>
          <w:szCs w:val="32"/>
          <w:highlight w:val="none"/>
          <w:lang w:val="en-US" w:eastAsia="zh-CN"/>
        </w:rPr>
        <w:t>808.79</w:t>
      </w:r>
      <w:r>
        <w:rPr>
          <w:rFonts w:hint="eastAsia" w:ascii="仿宋" w:hAnsi="仿宋" w:eastAsia="仿宋"/>
          <w:color w:val="auto"/>
          <w:sz w:val="32"/>
          <w:szCs w:val="32"/>
          <w:highlight w:val="none"/>
        </w:rPr>
        <w:t>万元。比20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731.22</w:t>
      </w:r>
      <w:r>
        <w:rPr>
          <w:rFonts w:hint="eastAsia" w:ascii="仿宋" w:hAnsi="仿宋" w:eastAsia="仿宋"/>
          <w:color w:val="auto"/>
          <w:sz w:val="32"/>
          <w:szCs w:val="32"/>
          <w:highlight w:val="none"/>
        </w:rPr>
        <w:t>万元增加</w:t>
      </w:r>
      <w:r>
        <w:rPr>
          <w:rFonts w:hint="eastAsia" w:ascii="仿宋" w:hAnsi="仿宋" w:eastAsia="仿宋"/>
          <w:color w:val="auto"/>
          <w:sz w:val="32"/>
          <w:szCs w:val="32"/>
          <w:highlight w:val="none"/>
          <w:lang w:val="en-US" w:eastAsia="zh-CN"/>
        </w:rPr>
        <w:t>77.57</w:t>
      </w:r>
      <w:r>
        <w:rPr>
          <w:rFonts w:hint="eastAsia" w:ascii="仿宋" w:hAnsi="仿宋" w:eastAsia="仿宋"/>
          <w:color w:val="auto"/>
          <w:sz w:val="32"/>
          <w:szCs w:val="32"/>
          <w:highlight w:val="none"/>
        </w:rPr>
        <w:t>万元，原因是</w:t>
      </w:r>
      <w:r>
        <w:rPr>
          <w:rFonts w:hint="eastAsia" w:ascii="仿宋" w:hAnsi="仿宋" w:eastAsia="仿宋"/>
          <w:color w:val="auto"/>
          <w:sz w:val="32"/>
          <w:szCs w:val="32"/>
          <w:highlight w:val="none"/>
          <w:lang w:eastAsia="zh-CN"/>
        </w:rPr>
        <w:t>伙食补助标准提高</w:t>
      </w:r>
      <w:r>
        <w:rPr>
          <w:rFonts w:hint="eastAsia" w:ascii="仿宋" w:hAnsi="仿宋" w:eastAsia="仿宋"/>
          <w:color w:val="auto"/>
          <w:sz w:val="32"/>
          <w:szCs w:val="32"/>
          <w:highlight w:val="none"/>
        </w:rPr>
        <w:t>导致公用经费金额增加。</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w:t>
      </w:r>
      <w:r>
        <w:rPr>
          <w:rFonts w:ascii="仿宋" w:hAnsi="仿宋" w:eastAsia="仿宋"/>
          <w:b/>
          <w:color w:val="auto"/>
          <w:sz w:val="32"/>
          <w:szCs w:val="32"/>
          <w:highlight w:val="none"/>
        </w:rPr>
        <w:t>采购预算说明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年涉及政府采购项目</w:t>
      </w:r>
      <w:r>
        <w:rPr>
          <w:rFonts w:hint="eastAsia" w:ascii="仿宋" w:hAnsi="仿宋" w:eastAsia="仿宋"/>
          <w:color w:val="auto"/>
          <w:sz w:val="32"/>
          <w:szCs w:val="32"/>
          <w:highlight w:val="none"/>
          <w:lang w:val="en-US" w:eastAsia="zh-CN"/>
        </w:rPr>
        <w:t>141</w:t>
      </w:r>
      <w:r>
        <w:rPr>
          <w:rFonts w:hint="eastAsia" w:ascii="仿宋" w:hAnsi="仿宋" w:eastAsia="仿宋"/>
          <w:color w:val="auto"/>
          <w:sz w:val="32"/>
          <w:szCs w:val="32"/>
          <w:highlight w:val="none"/>
        </w:rPr>
        <w:t>个，预算资金</w:t>
      </w:r>
      <w:r>
        <w:rPr>
          <w:rFonts w:hint="eastAsia" w:ascii="仿宋" w:hAnsi="仿宋" w:eastAsia="仿宋"/>
          <w:color w:val="auto"/>
          <w:sz w:val="32"/>
          <w:szCs w:val="32"/>
          <w:highlight w:val="none"/>
          <w:lang w:val="en-US" w:eastAsia="zh-CN"/>
        </w:rPr>
        <w:t>28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510.04</w:t>
      </w:r>
      <w:r>
        <w:rPr>
          <w:rFonts w:hint="eastAsia" w:ascii="仿宋" w:hAnsi="仿宋" w:eastAsia="仿宋"/>
          <w:color w:val="auto"/>
          <w:sz w:val="32"/>
          <w:szCs w:val="32"/>
          <w:highlight w:val="none"/>
        </w:rPr>
        <w:t>万元，其中预算内资金</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273.79</w:t>
      </w:r>
      <w:r>
        <w:rPr>
          <w:rFonts w:hint="eastAsia" w:ascii="仿宋" w:hAnsi="仿宋" w:eastAsia="仿宋"/>
          <w:color w:val="auto"/>
          <w:sz w:val="32"/>
          <w:szCs w:val="32"/>
          <w:highlight w:val="none"/>
        </w:rPr>
        <w:t>万元、其他资金</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236.25</w:t>
      </w:r>
      <w:r>
        <w:rPr>
          <w:rFonts w:hint="eastAsia" w:ascii="仿宋" w:hAnsi="仿宋" w:eastAsia="仿宋"/>
          <w:color w:val="auto"/>
          <w:sz w:val="32"/>
          <w:szCs w:val="32"/>
          <w:highlight w:val="none"/>
        </w:rPr>
        <w:t>万元。</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（三）</w:t>
      </w:r>
      <w:r>
        <w:rPr>
          <w:rFonts w:hint="eastAsia" w:ascii="仿宋" w:hAnsi="仿宋" w:eastAsia="仿宋"/>
          <w:b/>
          <w:color w:val="auto"/>
          <w:sz w:val="32"/>
          <w:szCs w:val="32"/>
          <w:highlight w:val="none"/>
        </w:rPr>
        <w:t>政府购买服务</w:t>
      </w:r>
      <w:r>
        <w:rPr>
          <w:rFonts w:ascii="仿宋" w:hAnsi="仿宋" w:eastAsia="仿宋"/>
          <w:b/>
          <w:color w:val="auto"/>
          <w:sz w:val="32"/>
          <w:szCs w:val="32"/>
          <w:highlight w:val="none"/>
        </w:rPr>
        <w:t>预算说明</w:t>
      </w:r>
    </w:p>
    <w:p>
      <w:pPr>
        <w:spacing w:line="52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2022</w:t>
      </w:r>
      <w:r>
        <w:rPr>
          <w:rFonts w:hint="eastAsia" w:ascii="仿宋_GB2312" w:hAnsi="黑体" w:eastAsia="仿宋_GB2312"/>
          <w:color w:val="auto"/>
          <w:sz w:val="32"/>
          <w:szCs w:val="32"/>
          <w:highlight w:val="none"/>
        </w:rPr>
        <w:t>年涉及政府购买服务项目</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1个，</w:t>
      </w:r>
      <w:r>
        <w:rPr>
          <w:rFonts w:hint="eastAsia" w:ascii="仿宋_GB2312" w:hAnsi="黑体" w:eastAsia="仿宋_GB2312"/>
          <w:color w:val="auto"/>
          <w:sz w:val="32"/>
          <w:szCs w:val="32"/>
          <w:highlight w:val="none"/>
        </w:rPr>
        <w:t>预算资金2</w:t>
      </w:r>
      <w:r>
        <w:rPr>
          <w:rFonts w:hint="eastAsia" w:ascii="仿宋_GB2312" w:hAnsi="黑体" w:eastAsia="仿宋_GB2312"/>
          <w:color w:val="auto"/>
          <w:sz w:val="32"/>
          <w:szCs w:val="32"/>
          <w:highlight w:val="none"/>
          <w:lang w:val="en-US" w:eastAsia="zh-CN"/>
        </w:rPr>
        <w:t>,459.60</w:t>
      </w:r>
      <w:r>
        <w:rPr>
          <w:rFonts w:hint="eastAsia" w:ascii="仿宋_GB2312" w:hAnsi="黑体" w:eastAsia="仿宋_GB2312"/>
          <w:color w:val="auto"/>
          <w:sz w:val="32"/>
          <w:szCs w:val="32"/>
          <w:highlight w:val="none"/>
        </w:rPr>
        <w:t>万</w:t>
      </w:r>
      <w:r>
        <w:rPr>
          <w:rFonts w:hint="eastAsia" w:ascii="仿宋_GB2312" w:hAnsi="黑体" w:eastAsia="仿宋_GB2312"/>
          <w:color w:val="auto"/>
          <w:sz w:val="32"/>
          <w:szCs w:val="32"/>
          <w:highlight w:val="none"/>
        </w:rPr>
        <w:t>元。</w:t>
      </w:r>
    </w:p>
    <w:p>
      <w:pPr>
        <w:spacing w:line="56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（四）绩效目标情况及绩效评价结果</w:t>
      </w:r>
      <w:r>
        <w:rPr>
          <w:rFonts w:ascii="仿宋" w:hAnsi="仿宋" w:eastAsia="仿宋"/>
          <w:b/>
          <w:color w:val="auto"/>
          <w:sz w:val="32"/>
          <w:szCs w:val="32"/>
          <w:highlight w:val="none"/>
        </w:rPr>
        <w:t>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北京市西城区卫生健康委员会下属38家单位，预算内项目</w:t>
      </w:r>
      <w:r>
        <w:rPr>
          <w:rFonts w:hint="eastAsia" w:ascii="仿宋" w:hAnsi="仿宋" w:eastAsia="仿宋"/>
          <w:color w:val="auto"/>
          <w:sz w:val="32"/>
          <w:szCs w:val="32"/>
          <w:highlight w:val="none"/>
          <w:lang w:val="en-US" w:eastAsia="zh-CN"/>
        </w:rPr>
        <w:t>442</w:t>
      </w:r>
      <w:r>
        <w:rPr>
          <w:rFonts w:hint="eastAsia" w:ascii="仿宋" w:hAnsi="仿宋" w:eastAsia="仿宋"/>
          <w:color w:val="auto"/>
          <w:sz w:val="32"/>
          <w:szCs w:val="32"/>
          <w:highlight w:val="none"/>
        </w:rPr>
        <w:t xml:space="preserve">个，金额 </w:t>
      </w:r>
      <w:r>
        <w:rPr>
          <w:rFonts w:hint="eastAsia" w:ascii="仿宋" w:hAnsi="仿宋" w:eastAsia="仿宋"/>
          <w:color w:val="auto"/>
          <w:sz w:val="32"/>
          <w:szCs w:val="32"/>
          <w:highlight w:val="none"/>
          <w:lang w:val="en-US" w:eastAsia="zh-CN"/>
        </w:rPr>
        <w:t>99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452.27</w:t>
      </w:r>
      <w:r>
        <w:rPr>
          <w:rFonts w:hint="eastAsia" w:ascii="仿宋" w:hAnsi="仿宋" w:eastAsia="仿宋"/>
          <w:color w:val="auto"/>
          <w:sz w:val="32"/>
          <w:szCs w:val="32"/>
          <w:highlight w:val="none"/>
        </w:rPr>
        <w:t>万元。其中：100万以上的项目</w:t>
      </w:r>
      <w:r>
        <w:rPr>
          <w:rFonts w:hint="eastAsia" w:ascii="仿宋" w:hAnsi="仿宋" w:eastAsia="仿宋"/>
          <w:color w:val="auto"/>
          <w:sz w:val="32"/>
          <w:szCs w:val="32"/>
          <w:highlight w:val="none"/>
          <w:lang w:val="en-US" w:eastAsia="zh-CN"/>
        </w:rPr>
        <w:t>140</w:t>
      </w:r>
      <w:r>
        <w:rPr>
          <w:rFonts w:hint="eastAsia" w:ascii="仿宋" w:hAnsi="仿宋" w:eastAsia="仿宋"/>
          <w:color w:val="auto"/>
          <w:sz w:val="32"/>
          <w:szCs w:val="32"/>
          <w:highlight w:val="none"/>
        </w:rPr>
        <w:t>个，金额</w:t>
      </w:r>
      <w:r>
        <w:rPr>
          <w:rFonts w:hint="eastAsia" w:ascii="仿宋" w:hAnsi="仿宋" w:eastAsia="仿宋"/>
          <w:color w:val="auto"/>
          <w:sz w:val="32"/>
          <w:szCs w:val="32"/>
          <w:highlight w:val="none"/>
          <w:lang w:val="en-US" w:eastAsia="zh-CN"/>
        </w:rPr>
        <w:t>92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254.77</w:t>
      </w:r>
      <w:r>
        <w:rPr>
          <w:rFonts w:hint="eastAsia" w:ascii="仿宋" w:hAnsi="仿宋" w:eastAsia="仿宋"/>
          <w:color w:val="auto"/>
          <w:sz w:val="32"/>
          <w:szCs w:val="32"/>
          <w:highlight w:val="none"/>
        </w:rPr>
        <w:t>万元。具体项目绩效目标见附表。</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2021年组织系统单位对2020年度抗疫特别国债绩效开展了自评，开展了财政监督自查内容涉及：会计信息质量自查、扶贫专项资金、新冠肺炎疫情防控财税政策落实、西城区直达资金监督情况等。卫生健康委本级按财政要求进行了部门绩效考评自评，自评结果为良好；财政部门对卫生系统2020年健康精准扶贫对口帮扶工作经费项目及2020年度中央转移支付基本公共卫生服务补助资金（社区疫情防控）项目，财政考评均为良好。卫生系统开展半年绩效跟踪和全年绩效评价，我委社区后勤社会化预算项目正按照区财政局要求，进行预算编制事前绩效评估，评估结果为予以支持。</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（五）国有</w:t>
      </w:r>
      <w:r>
        <w:rPr>
          <w:rFonts w:ascii="仿宋" w:hAnsi="仿宋" w:eastAsia="仿宋"/>
          <w:b/>
          <w:color w:val="auto"/>
          <w:sz w:val="32"/>
          <w:szCs w:val="32"/>
          <w:highlight w:val="none"/>
        </w:rPr>
        <w:t>资本经营预算财政拨款</w:t>
      </w:r>
      <w:r>
        <w:rPr>
          <w:rFonts w:hint="eastAsia" w:ascii="仿宋" w:hAnsi="仿宋" w:eastAsia="仿宋"/>
          <w:b/>
          <w:color w:val="auto"/>
          <w:sz w:val="32"/>
          <w:szCs w:val="32"/>
          <w:highlight w:val="none"/>
        </w:rPr>
        <w:t>情况</w:t>
      </w:r>
      <w:r>
        <w:rPr>
          <w:rFonts w:ascii="仿宋" w:hAnsi="仿宋" w:eastAsia="仿宋"/>
          <w:b/>
          <w:color w:val="auto"/>
          <w:sz w:val="32"/>
          <w:szCs w:val="32"/>
          <w:highlight w:val="none"/>
        </w:rPr>
        <w:t>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北京市西城区卫生健康委员会下属38家单位无此类信息。</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（六）国有资产</w:t>
      </w:r>
      <w:r>
        <w:rPr>
          <w:rFonts w:ascii="仿宋" w:hAnsi="仿宋" w:eastAsia="仿宋"/>
          <w:b/>
          <w:color w:val="auto"/>
          <w:sz w:val="32"/>
          <w:szCs w:val="32"/>
          <w:highlight w:val="none"/>
        </w:rPr>
        <w:t>占用情况说明</w:t>
      </w:r>
    </w:p>
    <w:p>
      <w:pPr>
        <w:spacing w:line="560" w:lineRule="exact"/>
        <w:ind w:firstLine="640" w:firstLineChars="200"/>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截止20</w:t>
      </w:r>
      <w:r>
        <w:rPr>
          <w:rFonts w:hint="eastAsia" w:ascii="仿宋" w:hAnsi="仿宋" w:eastAsia="仿宋" w:cs="黑体"/>
          <w:color w:val="auto"/>
          <w:sz w:val="32"/>
          <w:szCs w:val="32"/>
          <w:highlight w:val="none"/>
          <w:lang w:val="en-US" w:eastAsia="zh-CN"/>
        </w:rPr>
        <w:t>21</w:t>
      </w:r>
      <w:r>
        <w:rPr>
          <w:rFonts w:hint="eastAsia" w:ascii="仿宋" w:hAnsi="仿宋" w:eastAsia="仿宋" w:cs="黑体"/>
          <w:color w:val="auto"/>
          <w:sz w:val="32"/>
          <w:szCs w:val="32"/>
          <w:highlight w:val="none"/>
        </w:rPr>
        <w:t>年底，我系统固定资产总额2</w:t>
      </w:r>
      <w:r>
        <w:rPr>
          <w:rFonts w:hint="eastAsia" w:ascii="仿宋" w:hAnsi="仿宋" w:eastAsia="仿宋" w:cs="黑体"/>
          <w:color w:val="auto"/>
          <w:sz w:val="32"/>
          <w:szCs w:val="32"/>
          <w:highlight w:val="none"/>
          <w:lang w:val="en-US" w:eastAsia="zh-CN"/>
        </w:rPr>
        <w:t>85</w:t>
      </w:r>
      <w:r>
        <w:rPr>
          <w:rFonts w:hint="eastAsia" w:ascii="仿宋" w:hAnsi="仿宋" w:eastAsia="仿宋" w:cs="黑体"/>
          <w:color w:val="auto"/>
          <w:sz w:val="32"/>
          <w:szCs w:val="32"/>
          <w:highlight w:val="none"/>
        </w:rPr>
        <w:t>,</w:t>
      </w:r>
      <w:r>
        <w:rPr>
          <w:rFonts w:hint="eastAsia" w:ascii="仿宋" w:hAnsi="仿宋" w:eastAsia="仿宋" w:cs="黑体"/>
          <w:color w:val="auto"/>
          <w:sz w:val="32"/>
          <w:szCs w:val="32"/>
          <w:highlight w:val="none"/>
          <w:lang w:val="en-US" w:eastAsia="zh-CN"/>
        </w:rPr>
        <w:t>568.37</w:t>
      </w:r>
      <w:r>
        <w:rPr>
          <w:rFonts w:hint="eastAsia" w:ascii="仿宋" w:hAnsi="仿宋" w:eastAsia="仿宋" w:cs="黑体"/>
          <w:color w:val="auto"/>
          <w:sz w:val="32"/>
          <w:szCs w:val="32"/>
          <w:highlight w:val="none"/>
        </w:rPr>
        <w:t>万元，其中：车辆9</w:t>
      </w:r>
      <w:r>
        <w:rPr>
          <w:rFonts w:hint="eastAsia" w:ascii="仿宋" w:hAnsi="仿宋" w:eastAsia="仿宋" w:cs="黑体"/>
          <w:color w:val="auto"/>
          <w:sz w:val="32"/>
          <w:szCs w:val="32"/>
          <w:highlight w:val="none"/>
          <w:lang w:val="en-US" w:eastAsia="zh-CN"/>
        </w:rPr>
        <w:t>2</w:t>
      </w:r>
      <w:r>
        <w:rPr>
          <w:rFonts w:hint="eastAsia" w:ascii="仿宋" w:hAnsi="仿宋" w:eastAsia="仿宋" w:cs="黑体"/>
          <w:color w:val="auto"/>
          <w:sz w:val="32"/>
          <w:szCs w:val="32"/>
          <w:highlight w:val="none"/>
        </w:rPr>
        <w:t>台，2,</w:t>
      </w:r>
      <w:r>
        <w:rPr>
          <w:rFonts w:hint="eastAsia" w:ascii="仿宋" w:hAnsi="仿宋" w:eastAsia="仿宋" w:cs="黑体"/>
          <w:color w:val="auto"/>
          <w:sz w:val="32"/>
          <w:szCs w:val="32"/>
          <w:highlight w:val="none"/>
          <w:lang w:val="en-US" w:eastAsia="zh-CN"/>
        </w:rPr>
        <w:t>659.48</w:t>
      </w:r>
      <w:r>
        <w:rPr>
          <w:rFonts w:hint="eastAsia" w:ascii="仿宋" w:hAnsi="仿宋" w:eastAsia="仿宋" w:cs="黑体"/>
          <w:color w:val="auto"/>
          <w:sz w:val="32"/>
          <w:szCs w:val="32"/>
          <w:highlight w:val="none"/>
        </w:rPr>
        <w:t>万元；单位价值50万元以上的通用设备</w:t>
      </w:r>
      <w:r>
        <w:rPr>
          <w:rFonts w:hint="eastAsia" w:ascii="仿宋" w:hAnsi="仿宋" w:eastAsia="仿宋" w:cs="黑体"/>
          <w:color w:val="auto"/>
          <w:sz w:val="32"/>
          <w:szCs w:val="32"/>
          <w:highlight w:val="none"/>
          <w:lang w:val="en-US" w:eastAsia="zh-CN"/>
        </w:rPr>
        <w:t>80</w:t>
      </w:r>
      <w:r>
        <w:rPr>
          <w:rFonts w:hint="eastAsia" w:ascii="仿宋" w:hAnsi="仿宋" w:eastAsia="仿宋" w:cs="黑体"/>
          <w:color w:val="auto"/>
          <w:sz w:val="32"/>
          <w:szCs w:val="32"/>
          <w:highlight w:val="none"/>
        </w:rPr>
        <w:t>台（套）、</w:t>
      </w:r>
      <w:r>
        <w:rPr>
          <w:rFonts w:hint="eastAsia" w:ascii="仿宋" w:hAnsi="仿宋" w:eastAsia="仿宋" w:cs="黑体"/>
          <w:color w:val="auto"/>
          <w:sz w:val="32"/>
          <w:szCs w:val="32"/>
          <w:highlight w:val="none"/>
          <w:lang w:val="en-US" w:eastAsia="zh-CN"/>
        </w:rPr>
        <w:t>9</w:t>
      </w:r>
      <w:r>
        <w:rPr>
          <w:rFonts w:hint="eastAsia" w:ascii="仿宋" w:hAnsi="仿宋" w:eastAsia="仿宋" w:cs="黑体"/>
          <w:color w:val="auto"/>
          <w:sz w:val="32"/>
          <w:szCs w:val="32"/>
          <w:highlight w:val="none"/>
        </w:rPr>
        <w:t>,</w:t>
      </w:r>
      <w:r>
        <w:rPr>
          <w:rFonts w:hint="eastAsia" w:ascii="仿宋" w:hAnsi="仿宋" w:eastAsia="仿宋" w:cs="黑体"/>
          <w:color w:val="auto"/>
          <w:sz w:val="32"/>
          <w:szCs w:val="32"/>
          <w:highlight w:val="none"/>
          <w:lang w:val="en-US" w:eastAsia="zh-CN"/>
        </w:rPr>
        <w:t>639.40</w:t>
      </w:r>
      <w:r>
        <w:rPr>
          <w:rFonts w:hint="eastAsia" w:ascii="仿宋" w:hAnsi="仿宋" w:eastAsia="仿宋" w:cs="黑体"/>
          <w:color w:val="auto"/>
          <w:sz w:val="32"/>
          <w:szCs w:val="32"/>
          <w:highlight w:val="none"/>
        </w:rPr>
        <w:t>万元，单位价值100万元以上的专用设备2</w:t>
      </w:r>
      <w:r>
        <w:rPr>
          <w:rFonts w:hint="eastAsia" w:ascii="仿宋" w:hAnsi="仿宋" w:eastAsia="仿宋" w:cs="黑体"/>
          <w:color w:val="auto"/>
          <w:sz w:val="32"/>
          <w:szCs w:val="32"/>
          <w:highlight w:val="none"/>
          <w:lang w:val="en-US" w:eastAsia="zh-CN"/>
        </w:rPr>
        <w:t>76</w:t>
      </w:r>
      <w:r>
        <w:rPr>
          <w:rFonts w:hint="eastAsia" w:ascii="仿宋" w:hAnsi="仿宋" w:eastAsia="仿宋" w:cs="黑体"/>
          <w:color w:val="auto"/>
          <w:sz w:val="32"/>
          <w:szCs w:val="32"/>
          <w:highlight w:val="none"/>
        </w:rPr>
        <w:t>台（套）、7</w:t>
      </w:r>
      <w:r>
        <w:rPr>
          <w:rFonts w:hint="eastAsia" w:ascii="仿宋" w:hAnsi="仿宋" w:eastAsia="仿宋" w:cs="黑体"/>
          <w:color w:val="auto"/>
          <w:sz w:val="32"/>
          <w:szCs w:val="32"/>
          <w:highlight w:val="none"/>
          <w:lang w:val="en-US" w:eastAsia="zh-CN"/>
        </w:rPr>
        <w:t>8</w:t>
      </w:r>
      <w:r>
        <w:rPr>
          <w:rFonts w:hint="eastAsia" w:ascii="仿宋" w:hAnsi="仿宋" w:eastAsia="仿宋" w:cs="黑体"/>
          <w:color w:val="auto"/>
          <w:sz w:val="32"/>
          <w:szCs w:val="32"/>
          <w:highlight w:val="none"/>
        </w:rPr>
        <w:t>,</w:t>
      </w:r>
      <w:r>
        <w:rPr>
          <w:rFonts w:hint="eastAsia" w:ascii="仿宋" w:hAnsi="仿宋" w:eastAsia="仿宋" w:cs="黑体"/>
          <w:color w:val="auto"/>
          <w:sz w:val="32"/>
          <w:szCs w:val="32"/>
          <w:highlight w:val="none"/>
          <w:lang w:val="en-US" w:eastAsia="zh-CN"/>
        </w:rPr>
        <w:t>568.10</w:t>
      </w:r>
      <w:r>
        <w:rPr>
          <w:rFonts w:hint="eastAsia" w:ascii="仿宋" w:hAnsi="仿宋" w:eastAsia="仿宋" w:cs="黑体"/>
          <w:color w:val="auto"/>
          <w:sz w:val="32"/>
          <w:szCs w:val="32"/>
          <w:highlight w:val="none"/>
        </w:rPr>
        <w:t>万元。</w:t>
      </w:r>
    </w:p>
    <w:p>
      <w:pPr>
        <w:spacing w:line="56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部门财政预算：安排购置车辆（</w:t>
      </w:r>
      <w:r>
        <w:rPr>
          <w:rFonts w:hint="eastAsia" w:ascii="仿宋_GB2312" w:eastAsia="仿宋_GB2312"/>
          <w:color w:val="auto"/>
          <w:sz w:val="32"/>
          <w:szCs w:val="32"/>
          <w:highlight w:val="none"/>
          <w:lang w:eastAsia="zh-CN"/>
        </w:rPr>
        <w:t>救护车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.00万元；安排购置单位</w:t>
      </w:r>
      <w:r>
        <w:rPr>
          <w:rFonts w:ascii="仿宋_GB2312" w:eastAsia="仿宋_GB2312"/>
          <w:color w:val="auto"/>
          <w:sz w:val="32"/>
          <w:szCs w:val="32"/>
          <w:highlight w:val="none"/>
        </w:rPr>
        <w:t>价值</w:t>
      </w:r>
      <w:r>
        <w:rPr>
          <w:rFonts w:hint="eastAsia" w:ascii="仿宋_GB2312" w:eastAsia="仿宋_GB2312"/>
          <w:color w:val="auto"/>
          <w:sz w:val="32"/>
          <w:szCs w:val="32"/>
          <w:highlight w:val="none"/>
        </w:rPr>
        <w:t>50万元以上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通用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，金额为</w:t>
      </w:r>
      <w:r>
        <w:rPr>
          <w:rFonts w:hint="eastAsia" w:ascii="仿宋_GB2312" w:eastAsia="仿宋_GB2312"/>
          <w:color w:val="auto"/>
          <w:sz w:val="32"/>
          <w:szCs w:val="32"/>
          <w:highlight w:val="none"/>
          <w:lang w:val="en-US" w:eastAsia="zh-CN"/>
        </w:rPr>
        <w:t>63.00</w:t>
      </w:r>
      <w:r>
        <w:rPr>
          <w:rFonts w:hint="eastAsia" w:ascii="仿宋_GB2312" w:eastAsia="仿宋_GB2312"/>
          <w:color w:val="auto"/>
          <w:sz w:val="32"/>
          <w:szCs w:val="32"/>
          <w:highlight w:val="none"/>
        </w:rPr>
        <w:t>万元，安排购置单位</w:t>
      </w:r>
      <w:r>
        <w:rPr>
          <w:rFonts w:ascii="仿宋_GB2312" w:eastAsia="仿宋_GB2312"/>
          <w:color w:val="auto"/>
          <w:sz w:val="32"/>
          <w:szCs w:val="32"/>
          <w:highlight w:val="none"/>
        </w:rPr>
        <w:t>价值100</w:t>
      </w:r>
      <w:r>
        <w:rPr>
          <w:rFonts w:hint="eastAsia" w:ascii="仿宋_GB2312" w:eastAsia="仿宋_GB2312"/>
          <w:color w:val="auto"/>
          <w:sz w:val="32"/>
          <w:szCs w:val="32"/>
          <w:highlight w:val="none"/>
        </w:rPr>
        <w:t>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专用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，金额为</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222.00</w:t>
      </w:r>
      <w:r>
        <w:rPr>
          <w:rFonts w:hint="eastAsia" w:ascii="仿宋_GB2312" w:eastAsia="仿宋_GB2312"/>
          <w:color w:val="auto"/>
          <w:sz w:val="32"/>
          <w:szCs w:val="32"/>
          <w:highlight w:val="none"/>
        </w:rPr>
        <w:t>万元。</w:t>
      </w:r>
    </w:p>
    <w:p>
      <w:pPr>
        <w:spacing w:line="56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（七）重点行政事业性收费情况说明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2022年行政事业性收费金额预计为1.8万元，为</w:t>
      </w:r>
      <w:r>
        <w:rPr>
          <w:rFonts w:hint="eastAsia" w:ascii="仿宋" w:hAnsi="仿宋" w:eastAsia="仿宋"/>
          <w:color w:val="auto"/>
          <w:sz w:val="32"/>
          <w:szCs w:val="32"/>
          <w:highlight w:val="none"/>
        </w:rPr>
        <w:t>医疗事故鉴定费。</w:t>
      </w:r>
    </w:p>
    <w:p>
      <w:pPr>
        <w:spacing w:line="560" w:lineRule="exact"/>
        <w:ind w:firstLine="643" w:firstLineChars="200"/>
        <w:rPr>
          <w:rFonts w:ascii="仿宋" w:hAnsi="仿宋" w:eastAsia="仿宋" w:cs="黑体"/>
          <w:b/>
          <w:color w:val="auto"/>
          <w:sz w:val="32"/>
          <w:szCs w:val="32"/>
          <w:highlight w:val="none"/>
        </w:rPr>
      </w:pPr>
      <w:r>
        <w:rPr>
          <w:rFonts w:hint="eastAsia" w:ascii="仿宋" w:hAnsi="仿宋" w:eastAsia="仿宋" w:cs="黑体"/>
          <w:b/>
          <w:color w:val="auto"/>
          <w:sz w:val="32"/>
          <w:szCs w:val="32"/>
          <w:highlight w:val="none"/>
        </w:rPr>
        <w:t>（八）政府性基金预算财政拨款收入、支出全为零。</w:t>
      </w:r>
    </w:p>
    <w:p>
      <w:pPr>
        <w:spacing w:line="560" w:lineRule="exact"/>
        <w:ind w:firstLine="640" w:firstLineChars="200"/>
        <w:rPr>
          <w:rFonts w:ascii="仿宋" w:hAnsi="仿宋" w:eastAsia="仿宋" w:cs="黑体"/>
          <w:b/>
          <w:color w:val="auto"/>
          <w:sz w:val="32"/>
          <w:szCs w:val="32"/>
          <w:highlight w:val="none"/>
        </w:rPr>
      </w:pPr>
      <w:r>
        <w:rPr>
          <w:rFonts w:hint="eastAsia" w:ascii="黑体" w:hAnsi="黑体" w:eastAsia="黑体"/>
          <w:color w:val="auto"/>
          <w:sz w:val="32"/>
          <w:szCs w:val="32"/>
          <w:highlight w:val="none"/>
        </w:rPr>
        <w:t>六</w:t>
      </w:r>
      <w:r>
        <w:rPr>
          <w:rFonts w:ascii="黑体" w:hAnsi="黑体" w:eastAsia="黑体"/>
          <w:color w:val="auto"/>
          <w:sz w:val="32"/>
          <w:szCs w:val="32"/>
          <w:highlight w:val="none"/>
        </w:rPr>
        <w:t>、名称</w:t>
      </w:r>
      <w:r>
        <w:rPr>
          <w:rFonts w:hint="eastAsia" w:ascii="黑体" w:hAnsi="黑体" w:eastAsia="黑体"/>
          <w:color w:val="auto"/>
          <w:sz w:val="32"/>
          <w:szCs w:val="32"/>
          <w:highlight w:val="none"/>
        </w:rPr>
        <w:t>解释</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11.机</w:t>
      </w:r>
      <w:r>
        <w:rPr>
          <w:rFonts w:hint="eastAsia" w:ascii="仿宋" w:hAnsi="仿宋" w:eastAsia="仿宋"/>
          <w:color w:val="auto"/>
          <w:sz w:val="32"/>
          <w:szCs w:val="32"/>
          <w:highlight w:val="none"/>
          <w:lang w:eastAsia="zh-CN"/>
        </w:rPr>
        <w:t>关</w:t>
      </w:r>
      <w:r>
        <w:rPr>
          <w:rFonts w:hint="eastAsia" w:ascii="仿宋" w:hAnsi="仿宋" w:eastAsia="仿宋"/>
          <w:color w:val="auto"/>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auto"/>
          <w:sz w:val="32"/>
          <w:szCs w:val="32"/>
          <w:highlight w:val="none"/>
        </w:rPr>
      </w:pPr>
    </w:p>
    <w:p>
      <w:pPr>
        <w:spacing w:line="560" w:lineRule="exact"/>
        <w:ind w:firstLine="643" w:firstLineChars="200"/>
        <w:jc w:val="center"/>
        <w:rPr>
          <w:rFonts w:hint="eastAsia" w:asciiTheme="minorEastAsia" w:hAnsiTheme="minorEastAsia" w:eastAsiaTheme="minorEastAsia"/>
          <w:b/>
          <w:color w:val="auto"/>
          <w:sz w:val="32"/>
          <w:szCs w:val="32"/>
          <w:highlight w:val="none"/>
        </w:rPr>
      </w:pPr>
    </w:p>
    <w:p>
      <w:pPr>
        <w:spacing w:line="560" w:lineRule="exact"/>
        <w:ind w:firstLine="643" w:firstLineChars="200"/>
        <w:jc w:val="center"/>
        <w:rPr>
          <w:rFonts w:hint="eastAsia" w:asciiTheme="minorEastAsia" w:hAnsiTheme="minorEastAsia" w:eastAsiaTheme="minorEastAsia"/>
          <w:b/>
          <w:color w:val="auto"/>
          <w:sz w:val="32"/>
          <w:szCs w:val="32"/>
          <w:highlight w:val="none"/>
        </w:rPr>
      </w:pPr>
    </w:p>
    <w:p>
      <w:pPr>
        <w:spacing w:line="560" w:lineRule="exact"/>
        <w:ind w:firstLine="643" w:firstLineChars="200"/>
        <w:jc w:val="center"/>
        <w:rPr>
          <w:rFonts w:hint="eastAsia" w:asciiTheme="minorEastAsia" w:hAnsiTheme="minorEastAsia" w:eastAsiaTheme="minorEastAsia"/>
          <w:b/>
          <w:color w:val="auto"/>
          <w:sz w:val="32"/>
          <w:szCs w:val="32"/>
          <w:highlight w:val="none"/>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4395D7D"/>
    <w:rsid w:val="051E41C8"/>
    <w:rsid w:val="054A3CED"/>
    <w:rsid w:val="05FD7607"/>
    <w:rsid w:val="06893A80"/>
    <w:rsid w:val="075338BA"/>
    <w:rsid w:val="0ABA0656"/>
    <w:rsid w:val="0C177D52"/>
    <w:rsid w:val="0C181CAE"/>
    <w:rsid w:val="0ECC68CE"/>
    <w:rsid w:val="0F90589B"/>
    <w:rsid w:val="104C33A3"/>
    <w:rsid w:val="10E5632E"/>
    <w:rsid w:val="12572530"/>
    <w:rsid w:val="127B7B8D"/>
    <w:rsid w:val="13157DC8"/>
    <w:rsid w:val="13641DE6"/>
    <w:rsid w:val="13D80B3D"/>
    <w:rsid w:val="13E939B7"/>
    <w:rsid w:val="141F510F"/>
    <w:rsid w:val="153F6CB5"/>
    <w:rsid w:val="15FF7757"/>
    <w:rsid w:val="17DA12D2"/>
    <w:rsid w:val="19B91048"/>
    <w:rsid w:val="1BAE58EF"/>
    <w:rsid w:val="1BCF3464"/>
    <w:rsid w:val="1C602B16"/>
    <w:rsid w:val="1CE47F87"/>
    <w:rsid w:val="1D0123BD"/>
    <w:rsid w:val="1E1C6FB5"/>
    <w:rsid w:val="1E704B3C"/>
    <w:rsid w:val="1EFF4304"/>
    <w:rsid w:val="1FF743D5"/>
    <w:rsid w:val="201C74F7"/>
    <w:rsid w:val="216D72AA"/>
    <w:rsid w:val="22E4668C"/>
    <w:rsid w:val="23A32647"/>
    <w:rsid w:val="246C633F"/>
    <w:rsid w:val="267D1FB1"/>
    <w:rsid w:val="27AC1FAB"/>
    <w:rsid w:val="28A111F5"/>
    <w:rsid w:val="29B74CD8"/>
    <w:rsid w:val="29BF7FAB"/>
    <w:rsid w:val="2A457CD4"/>
    <w:rsid w:val="2CB75817"/>
    <w:rsid w:val="2D122CD5"/>
    <w:rsid w:val="2D466D4D"/>
    <w:rsid w:val="2DCA590E"/>
    <w:rsid w:val="2FEF1151"/>
    <w:rsid w:val="303F6434"/>
    <w:rsid w:val="3057093D"/>
    <w:rsid w:val="312D679A"/>
    <w:rsid w:val="329C5C8A"/>
    <w:rsid w:val="336D43AB"/>
    <w:rsid w:val="336E4E97"/>
    <w:rsid w:val="33962154"/>
    <w:rsid w:val="33C135B8"/>
    <w:rsid w:val="33F30AD9"/>
    <w:rsid w:val="36310E6F"/>
    <w:rsid w:val="372A49A2"/>
    <w:rsid w:val="37BE7C45"/>
    <w:rsid w:val="38025DDF"/>
    <w:rsid w:val="38627A4E"/>
    <w:rsid w:val="38C26778"/>
    <w:rsid w:val="38C72BA7"/>
    <w:rsid w:val="3AC10893"/>
    <w:rsid w:val="3B954A17"/>
    <w:rsid w:val="3B9C3807"/>
    <w:rsid w:val="3C4B6CAD"/>
    <w:rsid w:val="3C501F8B"/>
    <w:rsid w:val="3F111512"/>
    <w:rsid w:val="3F1D168F"/>
    <w:rsid w:val="3F5D30F0"/>
    <w:rsid w:val="42856682"/>
    <w:rsid w:val="43565BFD"/>
    <w:rsid w:val="43BF6050"/>
    <w:rsid w:val="445E2DD1"/>
    <w:rsid w:val="45D6630B"/>
    <w:rsid w:val="47A95455"/>
    <w:rsid w:val="47E0378B"/>
    <w:rsid w:val="48407E28"/>
    <w:rsid w:val="49494E88"/>
    <w:rsid w:val="49F516A4"/>
    <w:rsid w:val="4AC9232A"/>
    <w:rsid w:val="4BA25C08"/>
    <w:rsid w:val="4C176054"/>
    <w:rsid w:val="4CF53456"/>
    <w:rsid w:val="4D137CE0"/>
    <w:rsid w:val="4D4F17B0"/>
    <w:rsid w:val="4D8678A0"/>
    <w:rsid w:val="4E236C1E"/>
    <w:rsid w:val="4F7A5D7F"/>
    <w:rsid w:val="50751D45"/>
    <w:rsid w:val="5185587F"/>
    <w:rsid w:val="519651A1"/>
    <w:rsid w:val="52A126CF"/>
    <w:rsid w:val="531407D4"/>
    <w:rsid w:val="53A478D6"/>
    <w:rsid w:val="53F80A6E"/>
    <w:rsid w:val="56014104"/>
    <w:rsid w:val="56C2210F"/>
    <w:rsid w:val="575E1D67"/>
    <w:rsid w:val="597B4CF8"/>
    <w:rsid w:val="5A8F59B4"/>
    <w:rsid w:val="5B745F9C"/>
    <w:rsid w:val="5C4D63ED"/>
    <w:rsid w:val="5F3D30EA"/>
    <w:rsid w:val="603E1C05"/>
    <w:rsid w:val="614A716D"/>
    <w:rsid w:val="64714C59"/>
    <w:rsid w:val="650844D2"/>
    <w:rsid w:val="65297EDF"/>
    <w:rsid w:val="65A27595"/>
    <w:rsid w:val="67F03937"/>
    <w:rsid w:val="6A797494"/>
    <w:rsid w:val="6B107F5A"/>
    <w:rsid w:val="6B2570B3"/>
    <w:rsid w:val="6C2C6016"/>
    <w:rsid w:val="6DE85500"/>
    <w:rsid w:val="6F1261C5"/>
    <w:rsid w:val="6F9D221B"/>
    <w:rsid w:val="71F91D6A"/>
    <w:rsid w:val="72EA021F"/>
    <w:rsid w:val="74A679AF"/>
    <w:rsid w:val="75446B1D"/>
    <w:rsid w:val="78E30574"/>
    <w:rsid w:val="78E87210"/>
    <w:rsid w:val="79547495"/>
    <w:rsid w:val="7A44431E"/>
    <w:rsid w:val="7A6842F0"/>
    <w:rsid w:val="7AD82479"/>
    <w:rsid w:val="7BBC6913"/>
    <w:rsid w:val="7D3D0956"/>
    <w:rsid w:val="7D5C7FDA"/>
    <w:rsid w:val="7DDE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41</TotalTime>
  <ScaleCrop>false</ScaleCrop>
  <LinksUpToDate>false</LinksUpToDate>
  <CharactersWithSpaces>98977</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2021-02-01T01:43:00Z</cp:lastPrinted>
  <dcterms:modified xsi:type="dcterms:W3CDTF">2023-08-16T01:22:32Z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A0D5C9F044C84216B1D658AA8F3C9AD6</vt:lpwstr>
  </property>
</Properties>
</file>